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32"/>
        </w:rPr>
      </w:pPr>
      <w:r>
        <w:rPr>
          <w:rFonts w:hint="eastAsia"/>
          <w:b/>
          <w:color w:val="auto"/>
          <w:sz w:val="32"/>
        </w:rPr>
        <w:t>关于我院遴选工会节日慰问品采购项目公开比选公告</w:t>
      </w:r>
    </w:p>
    <w:p>
      <w:pPr>
        <w:rPr>
          <w:color w:val="auto"/>
        </w:rPr>
      </w:pPr>
    </w:p>
    <w:p>
      <w:pPr>
        <w:rPr>
          <w:color w:val="auto"/>
        </w:rPr>
      </w:pPr>
      <w:r>
        <w:rPr>
          <w:color w:val="auto"/>
        </w:rPr>
        <w:t xml:space="preserve">    </w:t>
      </w:r>
      <w:r>
        <w:rPr>
          <w:rFonts w:hint="eastAsia"/>
          <w:color w:val="auto"/>
        </w:rPr>
        <w:t>根据《中华人民共和国政府采购法》等有关规定，我院工会将进行工会委员会遴选节日慰问品采购，欢迎合格的供应商前来参加比选。</w:t>
      </w:r>
    </w:p>
    <w:p>
      <w:pPr>
        <w:rPr>
          <w:color w:val="auto"/>
        </w:rPr>
      </w:pPr>
      <w:r>
        <w:rPr>
          <w:color w:val="auto"/>
        </w:rPr>
        <w:t> </w:t>
      </w:r>
    </w:p>
    <w:p>
      <w:pPr>
        <w:ind w:firstLine="420" w:firstLineChars="200"/>
        <w:rPr>
          <w:color w:val="auto"/>
        </w:rPr>
      </w:pPr>
      <w:r>
        <w:rPr>
          <w:rFonts w:hint="eastAsia"/>
          <w:color w:val="auto"/>
        </w:rPr>
        <w:t>项目名称：广东省深圳牙科医疗中心工会委员会遴选节日慰问品采购项目</w:t>
      </w:r>
      <w:r>
        <w:rPr>
          <w:color w:val="auto"/>
        </w:rPr>
        <w:t> </w:t>
      </w:r>
    </w:p>
    <w:p>
      <w:pPr>
        <w:ind w:firstLine="420" w:firstLineChars="200"/>
        <w:rPr>
          <w:color w:val="auto"/>
        </w:rPr>
      </w:pPr>
      <w:r>
        <w:rPr>
          <w:rFonts w:hint="eastAsia"/>
          <w:color w:val="auto"/>
        </w:rPr>
        <w:t>采购单位：广东省深圳牙科医疗中心工会委员会</w:t>
      </w:r>
    </w:p>
    <w:p>
      <w:pPr>
        <w:ind w:firstLine="420" w:firstLineChars="200"/>
        <w:rPr>
          <w:color w:val="auto"/>
        </w:rPr>
      </w:pPr>
      <w:r>
        <w:rPr>
          <w:rFonts w:hint="eastAsia"/>
          <w:color w:val="auto"/>
        </w:rPr>
        <w:t>采购单位地址：深圳市罗湖区建设路</w:t>
      </w:r>
      <w:r>
        <w:rPr>
          <w:color w:val="auto"/>
        </w:rPr>
        <w:t>1092</w:t>
      </w:r>
      <w:r>
        <w:rPr>
          <w:rFonts w:hint="eastAsia"/>
          <w:color w:val="auto"/>
        </w:rPr>
        <w:t>号</w:t>
      </w:r>
    </w:p>
    <w:p>
      <w:pPr>
        <w:ind w:firstLine="420" w:firstLineChars="200"/>
        <w:rPr>
          <w:rFonts w:hint="default" w:eastAsiaTheme="minorEastAsia"/>
          <w:color w:val="auto"/>
          <w:lang w:val="en-US" w:eastAsia="zh-CN"/>
        </w:rPr>
      </w:pPr>
      <w:r>
        <w:rPr>
          <w:color w:val="auto"/>
        </w:rPr>
        <w:t> </w:t>
      </w:r>
      <w:r>
        <w:rPr>
          <w:rFonts w:hint="eastAsia"/>
          <w:color w:val="auto"/>
        </w:rPr>
        <w:t>项目联系人：</w:t>
      </w:r>
      <w:r>
        <w:rPr>
          <w:color w:val="auto"/>
        </w:rPr>
        <w:t xml:space="preserve"> </w:t>
      </w:r>
      <w:r>
        <w:rPr>
          <w:rFonts w:hint="eastAsia"/>
          <w:color w:val="auto"/>
          <w:lang w:val="en-US" w:eastAsia="zh-CN"/>
        </w:rPr>
        <w:t>唐</w:t>
      </w:r>
      <w:r>
        <w:rPr>
          <w:rFonts w:hint="eastAsia"/>
          <w:color w:val="auto"/>
        </w:rPr>
        <w:t>老师</w:t>
      </w:r>
      <w:r>
        <w:rPr>
          <w:rFonts w:hint="eastAsia"/>
          <w:color w:val="auto"/>
          <w:lang w:val="en-US" w:eastAsia="zh-CN"/>
        </w:rPr>
        <w:t xml:space="preserve">  </w:t>
      </w:r>
      <w:r>
        <w:rPr>
          <w:rFonts w:hint="eastAsia"/>
          <w:color w:val="auto"/>
        </w:rPr>
        <w:t>张老师</w:t>
      </w:r>
      <w:r>
        <w:rPr>
          <w:color w:val="auto"/>
        </w:rPr>
        <w:t xml:space="preserve"> </w:t>
      </w:r>
    </w:p>
    <w:p>
      <w:pPr>
        <w:ind w:firstLine="420" w:firstLineChars="200"/>
        <w:rPr>
          <w:color w:val="auto"/>
        </w:rPr>
      </w:pPr>
      <w:r>
        <w:rPr>
          <w:rFonts w:hint="eastAsia"/>
          <w:color w:val="auto"/>
        </w:rPr>
        <w:t>项目联系电话：</w:t>
      </w:r>
      <w:r>
        <w:rPr>
          <w:color w:val="auto"/>
        </w:rPr>
        <w:t xml:space="preserve"> </w:t>
      </w:r>
      <w:r>
        <w:rPr>
          <w:color w:val="auto"/>
        </w:rPr>
        <w:t>0755-822</w:t>
      </w:r>
      <w:r>
        <w:rPr>
          <w:rFonts w:hint="eastAsia"/>
          <w:color w:val="auto"/>
          <w:lang w:val="en-US" w:eastAsia="zh-CN"/>
        </w:rPr>
        <w:t>20665</w:t>
      </w:r>
      <w:r>
        <w:rPr>
          <w:color w:val="auto"/>
        </w:rPr>
        <w:t xml:space="preserve">  0755-82209190  </w:t>
      </w:r>
    </w:p>
    <w:p>
      <w:pPr>
        <w:rPr>
          <w:color w:val="auto"/>
        </w:rPr>
      </w:pPr>
      <w:bookmarkStart w:id="0" w:name="_GoBack"/>
      <w:bookmarkEnd w:id="0"/>
    </w:p>
    <w:p>
      <w:pPr>
        <w:rPr>
          <w:color w:val="auto"/>
        </w:rPr>
      </w:pPr>
    </w:p>
    <w:p>
      <w:pPr>
        <w:rPr>
          <w:color w:val="auto"/>
        </w:rPr>
      </w:pPr>
    </w:p>
    <w:p>
      <w:pPr>
        <w:rPr>
          <w:color w:val="auto"/>
        </w:rPr>
      </w:pPr>
    </w:p>
    <w:p>
      <w:pPr>
        <w:rPr>
          <w:color w:val="auto"/>
        </w:rPr>
      </w:pPr>
      <w:r>
        <w:rPr>
          <w:color w:val="auto"/>
        </w:rPr>
        <w:t> </w:t>
      </w:r>
      <w:r>
        <w:rPr>
          <w:rFonts w:hint="eastAsia"/>
          <w:color w:val="auto"/>
        </w:rPr>
        <w:t>一、采购项目内容</w:t>
      </w:r>
    </w:p>
    <w:tbl>
      <w:tblPr>
        <w:tblStyle w:val="2"/>
        <w:tblpPr w:leftFromText="180" w:rightFromText="180" w:vertAnchor="text" w:horzAnchor="page" w:tblpXSpec="center" w:tblpY="24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45"/>
        <w:gridCol w:w="1155"/>
        <w:gridCol w:w="1366"/>
        <w:gridCol w:w="2417"/>
        <w:gridCol w:w="1787"/>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261" w:type="pct"/>
            <w:tcMar>
              <w:top w:w="0" w:type="dxa"/>
              <w:left w:w="108" w:type="dxa"/>
              <w:bottom w:w="0" w:type="dxa"/>
              <w:right w:w="108" w:type="dxa"/>
            </w:tcMar>
            <w:vAlign w:val="center"/>
          </w:tcPr>
          <w:p>
            <w:pPr>
              <w:rPr>
                <w:color w:val="auto"/>
              </w:rPr>
            </w:pPr>
            <w:r>
              <w:rPr>
                <w:rFonts w:hint="eastAsia"/>
                <w:color w:val="auto"/>
              </w:rPr>
              <w:t>序号</w:t>
            </w:r>
          </w:p>
        </w:tc>
        <w:tc>
          <w:tcPr>
            <w:tcW w:w="678" w:type="pct"/>
            <w:tcMar>
              <w:top w:w="0" w:type="dxa"/>
              <w:left w:w="108" w:type="dxa"/>
              <w:bottom w:w="0" w:type="dxa"/>
              <w:right w:w="108" w:type="dxa"/>
            </w:tcMar>
            <w:vAlign w:val="center"/>
          </w:tcPr>
          <w:p>
            <w:pPr>
              <w:rPr>
                <w:color w:val="auto"/>
              </w:rPr>
            </w:pPr>
            <w:r>
              <w:rPr>
                <w:rFonts w:hint="eastAsia"/>
                <w:color w:val="auto"/>
              </w:rPr>
              <w:t>项目内容</w:t>
            </w:r>
          </w:p>
        </w:tc>
        <w:tc>
          <w:tcPr>
            <w:tcW w:w="802" w:type="pct"/>
            <w:tcMar>
              <w:top w:w="0" w:type="dxa"/>
              <w:left w:w="108" w:type="dxa"/>
              <w:bottom w:w="0" w:type="dxa"/>
              <w:right w:w="108" w:type="dxa"/>
            </w:tcMar>
            <w:vAlign w:val="center"/>
          </w:tcPr>
          <w:p>
            <w:pPr>
              <w:rPr>
                <w:color w:val="auto"/>
              </w:rPr>
            </w:pPr>
            <w:r>
              <w:rPr>
                <w:rFonts w:hint="eastAsia"/>
                <w:color w:val="auto"/>
              </w:rPr>
              <w:t>数量</w:t>
            </w:r>
          </w:p>
          <w:p>
            <w:pPr>
              <w:rPr>
                <w:color w:val="auto"/>
              </w:rPr>
            </w:pPr>
            <w:r>
              <w:rPr>
                <w:rFonts w:hint="eastAsia"/>
                <w:color w:val="auto"/>
              </w:rPr>
              <w:t>（按实结算）</w:t>
            </w:r>
          </w:p>
        </w:tc>
        <w:tc>
          <w:tcPr>
            <w:tcW w:w="1419" w:type="pct"/>
            <w:tcMar>
              <w:top w:w="0" w:type="dxa"/>
              <w:left w:w="108" w:type="dxa"/>
              <w:bottom w:w="0" w:type="dxa"/>
              <w:right w:w="108" w:type="dxa"/>
            </w:tcMar>
            <w:vAlign w:val="center"/>
          </w:tcPr>
          <w:p>
            <w:pPr>
              <w:rPr>
                <w:color w:val="auto"/>
              </w:rPr>
            </w:pPr>
            <w:r>
              <w:rPr>
                <w:rFonts w:hint="eastAsia"/>
                <w:color w:val="auto"/>
              </w:rPr>
              <w:t>商品</w:t>
            </w:r>
          </w:p>
          <w:p>
            <w:pPr>
              <w:rPr>
                <w:color w:val="auto"/>
              </w:rPr>
            </w:pPr>
          </w:p>
        </w:tc>
        <w:tc>
          <w:tcPr>
            <w:tcW w:w="1049" w:type="pct"/>
            <w:vAlign w:val="center"/>
          </w:tcPr>
          <w:p>
            <w:pPr>
              <w:rPr>
                <w:color w:val="auto"/>
              </w:rPr>
            </w:pPr>
            <w:r>
              <w:rPr>
                <w:rFonts w:hint="eastAsia"/>
                <w:color w:val="auto"/>
              </w:rPr>
              <w:t>消费额度</w:t>
            </w:r>
            <w:r>
              <w:rPr>
                <w:rFonts w:hint="eastAsia"/>
                <w:color w:val="auto"/>
              </w:rPr>
              <w:t>最高限价</w:t>
            </w:r>
          </w:p>
          <w:p>
            <w:pPr>
              <w:rPr>
                <w:color w:val="auto"/>
              </w:rPr>
            </w:pPr>
            <w:r>
              <w:rPr>
                <w:rFonts w:hint="eastAsia"/>
                <w:color w:val="auto"/>
              </w:rPr>
              <w:t>（元</w:t>
            </w:r>
            <w:r>
              <w:rPr>
                <w:color w:val="auto"/>
              </w:rPr>
              <w:t>/</w:t>
            </w:r>
            <w:r>
              <w:rPr>
                <w:rFonts w:hint="eastAsia"/>
                <w:color w:val="auto"/>
              </w:rPr>
              <w:t>份）</w:t>
            </w:r>
          </w:p>
        </w:tc>
        <w:tc>
          <w:tcPr>
            <w:tcW w:w="788" w:type="pct"/>
            <w:tcMar>
              <w:top w:w="0" w:type="dxa"/>
              <w:left w:w="108" w:type="dxa"/>
              <w:bottom w:w="0" w:type="dxa"/>
              <w:right w:w="108" w:type="dxa"/>
            </w:tcMar>
            <w:vAlign w:val="center"/>
          </w:tcPr>
          <w:p>
            <w:pPr>
              <w:rPr>
                <w:color w:val="auto"/>
              </w:rPr>
            </w:pPr>
            <w:r>
              <w:rPr>
                <w:rFonts w:hint="eastAsia"/>
                <w:color w:val="auto"/>
              </w:rPr>
              <w:t>中选人数量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0" w:hRule="atLeast"/>
          <w:jc w:val="center"/>
        </w:trPr>
        <w:tc>
          <w:tcPr>
            <w:tcW w:w="261" w:type="pct"/>
            <w:tcMar>
              <w:top w:w="0" w:type="dxa"/>
              <w:left w:w="108" w:type="dxa"/>
              <w:bottom w:w="0" w:type="dxa"/>
              <w:right w:w="108" w:type="dxa"/>
            </w:tcMar>
            <w:vAlign w:val="center"/>
          </w:tcPr>
          <w:p>
            <w:pPr>
              <w:rPr>
                <w:rFonts w:hint="eastAsia"/>
                <w:color w:val="auto"/>
              </w:rPr>
            </w:pPr>
            <w:r>
              <w:rPr>
                <w:rFonts w:hint="eastAsia"/>
                <w:color w:val="auto"/>
              </w:rPr>
              <w:t>1</w:t>
            </w:r>
          </w:p>
        </w:tc>
        <w:tc>
          <w:tcPr>
            <w:tcW w:w="678" w:type="pct"/>
            <w:tcMar>
              <w:top w:w="0" w:type="dxa"/>
              <w:left w:w="108" w:type="dxa"/>
              <w:bottom w:w="0" w:type="dxa"/>
              <w:right w:w="108" w:type="dxa"/>
            </w:tcMar>
            <w:vAlign w:val="center"/>
          </w:tcPr>
          <w:p>
            <w:pPr>
              <w:rPr>
                <w:rFonts w:hint="eastAsia"/>
                <w:color w:val="auto"/>
                <w:lang w:eastAsia="zh-CN"/>
              </w:rPr>
            </w:pPr>
            <w:r>
              <w:rPr>
                <w:rFonts w:hint="eastAsia"/>
                <w:color w:val="auto"/>
                <w:lang w:val="en-US" w:eastAsia="zh-CN"/>
              </w:rPr>
              <w:t>节日</w:t>
            </w:r>
            <w:r>
              <w:rPr>
                <w:rFonts w:hint="eastAsia"/>
                <w:color w:val="auto"/>
              </w:rPr>
              <w:t>慰问品</w:t>
            </w:r>
          </w:p>
        </w:tc>
        <w:tc>
          <w:tcPr>
            <w:tcW w:w="802" w:type="pct"/>
            <w:tcMar>
              <w:top w:w="0" w:type="dxa"/>
              <w:left w:w="108" w:type="dxa"/>
              <w:bottom w:w="0" w:type="dxa"/>
              <w:right w:w="108" w:type="dxa"/>
            </w:tcMar>
            <w:vAlign w:val="center"/>
          </w:tcPr>
          <w:p>
            <w:pPr>
              <w:rPr>
                <w:rFonts w:hint="default"/>
                <w:color w:val="auto"/>
                <w:lang w:val="en-US" w:eastAsia="zh-CN"/>
              </w:rPr>
            </w:pPr>
            <w:r>
              <w:rPr>
                <w:rFonts w:hint="eastAsia"/>
                <w:color w:val="auto"/>
                <w:lang w:val="en-US" w:eastAsia="zh-CN"/>
              </w:rPr>
              <w:t>分春节、中秋两个节日配送，每个节日</w:t>
            </w:r>
            <w:r>
              <w:rPr>
                <w:rFonts w:hint="eastAsia"/>
                <w:color w:val="auto"/>
              </w:rPr>
              <w:t>约</w:t>
            </w:r>
            <w:r>
              <w:rPr>
                <w:color w:val="auto"/>
              </w:rPr>
              <w:t>200</w:t>
            </w:r>
            <w:r>
              <w:rPr>
                <w:rFonts w:hint="eastAsia"/>
                <w:color w:val="auto"/>
              </w:rPr>
              <w:t>份</w:t>
            </w:r>
          </w:p>
        </w:tc>
        <w:tc>
          <w:tcPr>
            <w:tcW w:w="1419" w:type="pct"/>
            <w:tcMar>
              <w:top w:w="0" w:type="dxa"/>
              <w:left w:w="108" w:type="dxa"/>
              <w:bottom w:w="0" w:type="dxa"/>
              <w:right w:w="108" w:type="dxa"/>
            </w:tcMar>
            <w:vAlign w:val="center"/>
          </w:tcPr>
          <w:p>
            <w:pPr>
              <w:rPr>
                <w:color w:val="auto"/>
              </w:rPr>
            </w:pPr>
            <w:r>
              <w:rPr>
                <w:rFonts w:hint="eastAsia"/>
                <w:color w:val="auto"/>
              </w:rPr>
              <w:t>食品、</w:t>
            </w:r>
            <w:r>
              <w:rPr>
                <w:rFonts w:hint="eastAsia"/>
                <w:color w:val="auto"/>
                <w:lang w:val="en-US" w:eastAsia="zh-CN"/>
              </w:rPr>
              <w:t>粮油、</w:t>
            </w:r>
            <w:r>
              <w:rPr>
                <w:rFonts w:hint="eastAsia"/>
                <w:color w:val="auto"/>
              </w:rPr>
              <w:t>日常用品、小电器等</w:t>
            </w:r>
          </w:p>
        </w:tc>
        <w:tc>
          <w:tcPr>
            <w:tcW w:w="1049" w:type="pct"/>
            <w:vAlign w:val="center"/>
          </w:tcPr>
          <w:p>
            <w:pPr>
              <w:rPr>
                <w:color w:val="auto"/>
              </w:rPr>
            </w:pPr>
            <w:r>
              <w:rPr>
                <w:rFonts w:hint="eastAsia"/>
                <w:color w:val="auto"/>
              </w:rPr>
              <w:t>人民币</w:t>
            </w:r>
            <w:r>
              <w:rPr>
                <w:rFonts w:hint="eastAsia"/>
                <w:color w:val="auto"/>
                <w:lang w:val="en-US" w:eastAsia="zh-CN"/>
              </w:rPr>
              <w:t>999</w:t>
            </w:r>
            <w:r>
              <w:rPr>
                <w:rFonts w:hint="eastAsia"/>
                <w:color w:val="auto"/>
              </w:rPr>
              <w:t>元</w:t>
            </w:r>
            <w:r>
              <w:rPr>
                <w:color w:val="auto"/>
              </w:rPr>
              <w:t>/</w:t>
            </w:r>
            <w:r>
              <w:rPr>
                <w:rFonts w:hint="eastAsia"/>
                <w:color w:val="auto"/>
              </w:rPr>
              <w:t>份</w:t>
            </w:r>
          </w:p>
        </w:tc>
        <w:tc>
          <w:tcPr>
            <w:tcW w:w="788" w:type="pct"/>
            <w:tcMar>
              <w:top w:w="0" w:type="dxa"/>
              <w:left w:w="108" w:type="dxa"/>
              <w:bottom w:w="0" w:type="dxa"/>
              <w:right w:w="108" w:type="dxa"/>
            </w:tcMar>
            <w:vAlign w:val="center"/>
          </w:tcPr>
          <w:p>
            <w:pPr>
              <w:rPr>
                <w:color w:val="auto"/>
              </w:rPr>
            </w:pPr>
            <w:r>
              <w:rPr>
                <w:color w:val="auto"/>
              </w:rPr>
              <w:t>1</w:t>
            </w:r>
            <w:r>
              <w:rPr>
                <w:rFonts w:hint="eastAsia"/>
                <w:color w:val="auto"/>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jc w:val="center"/>
        </w:trPr>
        <w:tc>
          <w:tcPr>
            <w:tcW w:w="5000" w:type="pct"/>
            <w:gridSpan w:val="6"/>
            <w:tcMar>
              <w:top w:w="0" w:type="dxa"/>
              <w:left w:w="108" w:type="dxa"/>
              <w:bottom w:w="0" w:type="dxa"/>
              <w:right w:w="108" w:type="dxa"/>
            </w:tcMar>
          </w:tcPr>
          <w:p>
            <w:pPr>
              <w:rPr>
                <w:color w:val="auto"/>
              </w:rPr>
            </w:pPr>
            <w:r>
              <w:rPr>
                <w:rFonts w:hint="eastAsia"/>
                <w:color w:val="auto"/>
              </w:rPr>
              <w:t>备注：</w:t>
            </w:r>
          </w:p>
          <w:p>
            <w:pPr>
              <w:rPr>
                <w:color w:val="auto"/>
              </w:rPr>
            </w:pPr>
            <w:r>
              <w:rPr>
                <w:color w:val="auto"/>
              </w:rPr>
              <w:t>1</w:t>
            </w:r>
            <w:r>
              <w:rPr>
                <w:rFonts w:hint="eastAsia"/>
                <w:color w:val="auto"/>
              </w:rPr>
              <w:t>、商品以套餐形式，每套餐按照</w:t>
            </w:r>
            <w:r>
              <w:rPr>
                <w:rFonts w:hint="eastAsia"/>
                <w:color w:val="auto"/>
                <w:lang w:val="en-US" w:eastAsia="zh-CN"/>
              </w:rPr>
              <w:t>999</w:t>
            </w:r>
            <w:r>
              <w:rPr>
                <w:rFonts w:hint="eastAsia"/>
                <w:color w:val="auto"/>
              </w:rPr>
              <w:t>元的价格，每家供货商应提供</w:t>
            </w:r>
            <w:r>
              <w:rPr>
                <w:rFonts w:hint="eastAsia"/>
                <w:color w:val="auto"/>
                <w:lang w:val="en-US" w:eastAsia="zh-CN"/>
              </w:rPr>
              <w:t>不少于</w:t>
            </w:r>
            <w:r>
              <w:rPr>
                <w:color w:val="auto"/>
              </w:rPr>
              <w:t>3</w:t>
            </w:r>
            <w:r>
              <w:rPr>
                <w:rFonts w:hint="eastAsia"/>
                <w:color w:val="auto"/>
              </w:rPr>
              <w:t>种不同套餐</w:t>
            </w:r>
            <w:r>
              <w:rPr>
                <w:rFonts w:hint="eastAsia"/>
                <w:color w:val="auto"/>
                <w:lang w:eastAsia="zh-CN"/>
              </w:rPr>
              <w:t>，</w:t>
            </w:r>
            <w:r>
              <w:rPr>
                <w:rFonts w:hint="eastAsia"/>
                <w:color w:val="auto"/>
                <w:lang w:val="en-US" w:eastAsia="zh-CN"/>
              </w:rPr>
              <w:t>其中至少有一个套餐包含20斤以上大米及20斤以上食用油</w:t>
            </w:r>
            <w:r>
              <w:rPr>
                <w:rFonts w:hint="eastAsia"/>
                <w:color w:val="auto"/>
              </w:rPr>
              <w:t>。</w:t>
            </w:r>
          </w:p>
          <w:p>
            <w:pPr>
              <w:rPr>
                <w:color w:val="auto"/>
              </w:rPr>
            </w:pPr>
            <w:r>
              <w:rPr>
                <w:color w:val="auto"/>
              </w:rPr>
              <w:t>2</w:t>
            </w:r>
            <w:r>
              <w:rPr>
                <w:rFonts w:hint="eastAsia"/>
                <w:color w:val="auto"/>
              </w:rPr>
              <w:t>、本项目设有最高限价，供货商最终报价超过最高限价及最高控制单价的为无效报价，其响应按无效处理。</w:t>
            </w:r>
          </w:p>
          <w:p>
            <w:pPr>
              <w:rPr>
                <w:color w:val="auto"/>
              </w:rPr>
            </w:pPr>
            <w:r>
              <w:rPr>
                <w:color w:val="auto"/>
              </w:rPr>
              <w:t>3</w:t>
            </w:r>
            <w:r>
              <w:rPr>
                <w:rFonts w:hint="eastAsia"/>
                <w:color w:val="auto"/>
              </w:rPr>
              <w:t>、以上采购数量为预估数量，具体采购数量以采购人实际需求为准，采购人不承诺按预估数量采购，无论低于或超出采购预估数量的货物均以中选单价结算。</w:t>
            </w:r>
          </w:p>
          <w:p>
            <w:pPr>
              <w:rPr>
                <w:color w:val="auto"/>
              </w:rPr>
            </w:pPr>
            <w:r>
              <w:rPr>
                <w:color w:val="auto"/>
              </w:rPr>
              <w:t>4</w:t>
            </w:r>
            <w:r>
              <w:rPr>
                <w:rFonts w:hint="eastAsia"/>
                <w:color w:val="auto"/>
              </w:rPr>
              <w:t>、合同履行期限：按合同约定执行。</w:t>
            </w:r>
          </w:p>
          <w:p>
            <w:pPr>
              <w:rPr>
                <w:color w:val="auto"/>
              </w:rPr>
            </w:pPr>
            <w:r>
              <w:rPr>
                <w:color w:val="auto"/>
              </w:rPr>
              <w:t>5</w:t>
            </w:r>
            <w:r>
              <w:rPr>
                <w:rFonts w:hint="eastAsia"/>
                <w:color w:val="auto"/>
              </w:rPr>
              <w:t>、本项目不接受联合体投标。</w:t>
            </w:r>
          </w:p>
        </w:tc>
      </w:tr>
    </w:tbl>
    <w:p>
      <w:pPr>
        <w:rPr>
          <w:color w:val="auto"/>
        </w:rPr>
      </w:pPr>
    </w:p>
    <w:p>
      <w:pPr>
        <w:rPr>
          <w:color w:val="auto"/>
        </w:rPr>
      </w:pPr>
      <w:r>
        <w:rPr>
          <w:rFonts w:hint="eastAsia"/>
          <w:color w:val="auto"/>
        </w:rPr>
        <w:t>二、比选时间：</w:t>
      </w:r>
      <w:r>
        <w:rPr>
          <w:color w:val="auto"/>
        </w:rPr>
        <w:t>202</w:t>
      </w:r>
      <w:r>
        <w:rPr>
          <w:rFonts w:hint="eastAsia"/>
          <w:color w:val="auto"/>
          <w:lang w:val="en-US" w:eastAsia="zh-CN"/>
        </w:rPr>
        <w:t>4</w:t>
      </w:r>
      <w:r>
        <w:rPr>
          <w:rFonts w:hint="eastAsia"/>
          <w:color w:val="auto"/>
        </w:rPr>
        <w:t>年</w:t>
      </w:r>
      <w:r>
        <w:rPr>
          <w:rFonts w:hint="eastAsia"/>
          <w:color w:val="auto"/>
          <w:lang w:val="en-US" w:eastAsia="zh-CN"/>
        </w:rPr>
        <w:t>1</w:t>
      </w:r>
      <w:r>
        <w:rPr>
          <w:rFonts w:hint="eastAsia"/>
          <w:color w:val="auto"/>
        </w:rPr>
        <w:t>月</w:t>
      </w:r>
      <w:r>
        <w:rPr>
          <w:rFonts w:hint="eastAsia"/>
          <w:color w:val="auto"/>
          <w:lang w:val="en-US" w:eastAsia="zh-CN"/>
        </w:rPr>
        <w:t>22</w:t>
      </w:r>
      <w:r>
        <w:rPr>
          <w:rFonts w:hint="eastAsia"/>
          <w:color w:val="auto"/>
        </w:rPr>
        <w:t>日</w:t>
      </w:r>
      <w:r>
        <w:rPr>
          <w:color w:val="auto"/>
        </w:rPr>
        <w:t>15</w:t>
      </w:r>
      <w:r>
        <w:rPr>
          <w:rFonts w:hint="eastAsia"/>
          <w:color w:val="auto"/>
        </w:rPr>
        <w:t>点</w:t>
      </w:r>
      <w:r>
        <w:rPr>
          <w:color w:val="auto"/>
        </w:rPr>
        <w:t>00</w:t>
      </w:r>
      <w:r>
        <w:rPr>
          <w:rFonts w:hint="eastAsia"/>
          <w:color w:val="auto"/>
        </w:rPr>
        <w:t>分</w:t>
      </w:r>
    </w:p>
    <w:p>
      <w:pPr>
        <w:rPr>
          <w:color w:val="auto"/>
        </w:rPr>
      </w:pPr>
      <w:r>
        <w:rPr>
          <w:color w:val="auto"/>
        </w:rPr>
        <w:t> </w:t>
      </w:r>
      <w:r>
        <w:rPr>
          <w:rFonts w:hint="eastAsia"/>
          <w:color w:val="auto"/>
        </w:rPr>
        <w:t>三、比选地址：本院三楼</w:t>
      </w:r>
      <w:r>
        <w:rPr>
          <w:rFonts w:hint="eastAsia"/>
          <w:color w:val="auto"/>
          <w:lang w:val="en-US" w:eastAsia="zh-CN"/>
        </w:rPr>
        <w:t>大</w:t>
      </w:r>
      <w:r>
        <w:rPr>
          <w:rFonts w:hint="eastAsia"/>
          <w:color w:val="auto"/>
        </w:rPr>
        <w:t>会议室</w:t>
      </w:r>
    </w:p>
    <w:p>
      <w:pPr>
        <w:rPr>
          <w:color w:val="auto"/>
        </w:rPr>
      </w:pPr>
      <w:r>
        <w:rPr>
          <w:rFonts w:hint="eastAsia"/>
          <w:color w:val="auto"/>
        </w:rPr>
        <w:t>四</w:t>
      </w:r>
      <w:r>
        <w:rPr>
          <w:color w:val="auto"/>
        </w:rPr>
        <w:t>1.</w:t>
      </w:r>
      <w:r>
        <w:rPr>
          <w:rFonts w:hint="eastAsia"/>
          <w:color w:val="auto"/>
        </w:rPr>
        <w:t>主要商务要求</w:t>
      </w:r>
    </w:p>
    <w:tbl>
      <w:tblPr>
        <w:tblStyle w:val="2"/>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4153"/>
        <w:gridCol w:w="415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153"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标的提供的时间</w:t>
            </w:r>
          </w:p>
        </w:tc>
        <w:tc>
          <w:tcPr>
            <w:tcW w:w="4153" w:type="dxa"/>
            <w:tcBorders>
              <w:top w:val="single" w:color="auto" w:sz="2" w:space="0"/>
              <w:left w:val="single" w:color="auto" w:sz="2" w:space="0"/>
              <w:bottom w:val="single" w:color="auto" w:sz="2" w:space="0"/>
              <w:right w:val="single" w:color="auto" w:sz="2" w:space="0"/>
            </w:tcBorders>
          </w:tcPr>
          <w:p>
            <w:pPr>
              <w:rPr>
                <w:color w:val="auto"/>
              </w:rPr>
            </w:pPr>
          </w:p>
          <w:p>
            <w:pPr>
              <w:rPr>
                <w:color w:val="auto"/>
              </w:rPr>
            </w:pPr>
            <w:r>
              <w:rPr>
                <w:rFonts w:hint="eastAsia"/>
                <w:color w:val="auto"/>
              </w:rPr>
              <w:t>合同生效，接到采购人通知后</w:t>
            </w:r>
            <w:r>
              <w:rPr>
                <w:color w:val="auto"/>
              </w:rPr>
              <w:t>7</w:t>
            </w:r>
            <w:r>
              <w:rPr>
                <w:rFonts w:hint="eastAsia"/>
                <w:color w:val="auto"/>
              </w:rPr>
              <w:t>个日历天内完成交货、包装、配送、验收并交付用户使用。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153"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标的提供的地点</w:t>
            </w:r>
          </w:p>
        </w:tc>
        <w:tc>
          <w:tcPr>
            <w:tcW w:w="4153" w:type="dxa"/>
            <w:tcBorders>
              <w:top w:val="single" w:color="auto" w:sz="2" w:space="0"/>
              <w:left w:val="single" w:color="auto" w:sz="2" w:space="0"/>
              <w:bottom w:val="single" w:color="auto" w:sz="2" w:space="0"/>
              <w:right w:val="single" w:color="auto" w:sz="2" w:space="0"/>
            </w:tcBorders>
          </w:tcPr>
          <w:p>
            <w:pPr>
              <w:rPr>
                <w:color w:val="auto"/>
              </w:rPr>
            </w:pPr>
          </w:p>
          <w:p>
            <w:pPr>
              <w:rPr>
                <w:color w:val="auto"/>
              </w:rPr>
            </w:pPr>
            <w:r>
              <w:rPr>
                <w:rFonts w:hint="eastAsia"/>
                <w:color w:val="auto"/>
              </w:rPr>
              <w:t>采购人指定地点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153"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付款方式</w:t>
            </w:r>
          </w:p>
        </w:tc>
        <w:tc>
          <w:tcPr>
            <w:tcW w:w="4153" w:type="dxa"/>
            <w:tcBorders>
              <w:top w:val="single" w:color="auto" w:sz="2" w:space="0"/>
              <w:left w:val="single" w:color="auto" w:sz="2" w:space="0"/>
              <w:bottom w:val="single" w:color="auto" w:sz="2" w:space="0"/>
              <w:right w:val="single" w:color="auto" w:sz="2" w:space="0"/>
            </w:tcBorders>
          </w:tcPr>
          <w:p>
            <w:pPr>
              <w:rPr>
                <w:color w:val="auto"/>
              </w:rPr>
            </w:pPr>
            <w:r>
              <w:rPr>
                <w:color w:val="auto"/>
              </w:rPr>
              <w:t>1</w:t>
            </w:r>
            <w:r>
              <w:rPr>
                <w:rFonts w:hint="eastAsia"/>
                <w:color w:val="auto"/>
              </w:rPr>
              <w:t>期：支付比例</w:t>
            </w:r>
            <w:r>
              <w:rPr>
                <w:color w:val="auto"/>
              </w:rPr>
              <w:t>100%,</w:t>
            </w:r>
            <w:r>
              <w:rPr>
                <w:color w:val="auto"/>
              </w:rPr>
              <w:t>1</w:t>
            </w:r>
            <w:r>
              <w:rPr>
                <w:rFonts w:hint="eastAsia"/>
                <w:color w:val="auto"/>
              </w:rPr>
              <w:t>期：支付比例</w:t>
            </w:r>
            <w:r>
              <w:rPr>
                <w:color w:val="auto"/>
              </w:rPr>
              <w:t>100%,1</w:t>
            </w:r>
            <w:r>
              <w:rPr>
                <w:rFonts w:hint="eastAsia"/>
                <w:color w:val="auto"/>
              </w:rPr>
              <w:t>、全部货品到货并验收合格后</w:t>
            </w:r>
            <w:r>
              <w:rPr>
                <w:color w:val="auto"/>
              </w:rPr>
              <w:t>15</w:t>
            </w:r>
            <w:r>
              <w:rPr>
                <w:rFonts w:hint="eastAsia"/>
                <w:color w:val="auto"/>
              </w:rPr>
              <w:t>个工作日内支付合同款。</w:t>
            </w:r>
            <w:r>
              <w:rPr>
                <w:color w:val="auto"/>
              </w:rPr>
              <w:t xml:space="preserve"> 2</w:t>
            </w:r>
            <w:r>
              <w:rPr>
                <w:rFonts w:hint="eastAsia"/>
                <w:color w:val="auto"/>
              </w:rPr>
              <w:t>、项目实施过程中不得增加合同费用。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33" w:hRule="atLeast"/>
        </w:trPr>
        <w:tc>
          <w:tcPr>
            <w:tcW w:w="4153"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验收要求</w:t>
            </w:r>
          </w:p>
        </w:tc>
        <w:tc>
          <w:tcPr>
            <w:tcW w:w="4153" w:type="dxa"/>
            <w:tcBorders>
              <w:top w:val="single" w:color="auto" w:sz="2" w:space="0"/>
              <w:left w:val="single" w:color="auto" w:sz="2" w:space="0"/>
              <w:bottom w:val="single" w:color="auto" w:sz="2" w:space="0"/>
              <w:right w:val="single" w:color="auto" w:sz="2" w:space="0"/>
            </w:tcBorders>
          </w:tcPr>
          <w:p>
            <w:pPr>
              <w:rPr>
                <w:color w:val="auto"/>
              </w:rPr>
            </w:pPr>
            <w:r>
              <w:rPr>
                <w:color w:val="auto"/>
              </w:rPr>
              <w:t>1</w:t>
            </w:r>
            <w:r>
              <w:rPr>
                <w:rFonts w:hint="eastAsia"/>
                <w:color w:val="auto"/>
              </w:rPr>
              <w:t>期：</w:t>
            </w:r>
            <w:r>
              <w:rPr>
                <w:color w:val="auto"/>
              </w:rPr>
              <w:t>1</w:t>
            </w:r>
            <w:r>
              <w:rPr>
                <w:rFonts w:hint="eastAsia"/>
                <w:color w:val="auto"/>
              </w:rPr>
              <w:t>期：（</w:t>
            </w:r>
            <w:r>
              <w:rPr>
                <w:color w:val="auto"/>
              </w:rPr>
              <w:t>1</w:t>
            </w:r>
            <w:r>
              <w:rPr>
                <w:rFonts w:hint="eastAsia"/>
                <w:color w:val="auto"/>
              </w:rPr>
              <w:t>）供应商必须依照评比要求和响应文件的承诺选择质量最佳的商品供货。（</w:t>
            </w:r>
            <w:r>
              <w:rPr>
                <w:color w:val="auto"/>
              </w:rPr>
              <w:t>2</w:t>
            </w:r>
            <w:r>
              <w:rPr>
                <w:rFonts w:hint="eastAsia"/>
                <w:color w:val="auto"/>
              </w:rPr>
              <w:t>）货物若有国家标准按照国家标准验收，若无国家标准按行业或采购人标准验收。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153"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履约保证金</w:t>
            </w:r>
          </w:p>
        </w:tc>
        <w:tc>
          <w:tcPr>
            <w:tcW w:w="4153"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不收取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4153"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其他</w:t>
            </w:r>
          </w:p>
        </w:tc>
        <w:tc>
          <w:tcPr>
            <w:tcW w:w="4153" w:type="dxa"/>
            <w:tcBorders>
              <w:top w:val="single" w:color="auto" w:sz="2" w:space="0"/>
              <w:left w:val="single" w:color="auto" w:sz="2" w:space="0"/>
              <w:bottom w:val="single" w:color="auto" w:sz="2" w:space="0"/>
              <w:right w:val="single" w:color="auto" w:sz="2" w:space="0"/>
            </w:tcBorders>
          </w:tcPr>
          <w:p>
            <w:pPr>
              <w:rPr>
                <w:color w:val="auto"/>
              </w:rPr>
            </w:pPr>
          </w:p>
        </w:tc>
      </w:tr>
    </w:tbl>
    <w:p>
      <w:pPr>
        <w:rPr>
          <w:color w:val="auto"/>
        </w:rPr>
      </w:pPr>
    </w:p>
    <w:p>
      <w:pPr>
        <w:ind w:firstLine="210" w:firstLineChars="100"/>
        <w:rPr>
          <w:color w:val="auto"/>
        </w:rPr>
      </w:pPr>
      <w:r>
        <w:rPr>
          <w:color w:val="auto"/>
        </w:rPr>
        <w:t>2.</w:t>
      </w:r>
      <w:r>
        <w:rPr>
          <w:rFonts w:hint="eastAsia"/>
          <w:color w:val="auto"/>
        </w:rPr>
        <w:t>技术参数要求</w:t>
      </w:r>
    </w:p>
    <w:tbl>
      <w:tblPr>
        <w:tblStyle w:val="2"/>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2076"/>
        <w:gridCol w:w="426"/>
        <w:gridCol w:w="581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076"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参数性质</w:t>
            </w:r>
          </w:p>
        </w:tc>
        <w:tc>
          <w:tcPr>
            <w:tcW w:w="426"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序号</w:t>
            </w:r>
          </w:p>
        </w:tc>
        <w:tc>
          <w:tcPr>
            <w:tcW w:w="5814"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具体技术</w:t>
            </w:r>
            <w:r>
              <w:rPr>
                <w:color w:val="auto"/>
              </w:rPr>
              <w:t>(</w:t>
            </w:r>
            <w:r>
              <w:rPr>
                <w:rFonts w:hint="eastAsia"/>
                <w:color w:val="auto"/>
              </w:rPr>
              <w:t>参数</w:t>
            </w:r>
            <w:r>
              <w:rPr>
                <w:color w:val="auto"/>
              </w:rPr>
              <w:t>)</w:t>
            </w:r>
            <w:r>
              <w:rPr>
                <w:rFonts w:hint="eastAsia"/>
                <w:color w:val="auto"/>
              </w:rPr>
              <w:t>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076" w:type="dxa"/>
            <w:tcBorders>
              <w:top w:val="single" w:color="auto" w:sz="2" w:space="0"/>
              <w:left w:val="single" w:color="auto" w:sz="2" w:space="0"/>
              <w:bottom w:val="single" w:color="auto" w:sz="2" w:space="0"/>
              <w:right w:val="single" w:color="auto" w:sz="2" w:space="0"/>
            </w:tcBorders>
          </w:tcPr>
          <w:p>
            <w:pPr>
              <w:rPr>
                <w:color w:val="auto"/>
              </w:rPr>
            </w:pPr>
          </w:p>
        </w:tc>
        <w:tc>
          <w:tcPr>
            <w:tcW w:w="426" w:type="dxa"/>
            <w:tcBorders>
              <w:top w:val="single" w:color="auto" w:sz="2" w:space="0"/>
              <w:left w:val="single" w:color="auto" w:sz="2" w:space="0"/>
              <w:bottom w:val="single" w:color="auto" w:sz="2" w:space="0"/>
              <w:right w:val="single" w:color="auto" w:sz="2" w:space="0"/>
            </w:tcBorders>
          </w:tcPr>
          <w:p>
            <w:pPr>
              <w:rPr>
                <w:color w:val="auto"/>
              </w:rPr>
            </w:pPr>
            <w:r>
              <w:rPr>
                <w:color w:val="auto"/>
              </w:rPr>
              <w:t>1</w:t>
            </w:r>
          </w:p>
        </w:tc>
        <w:tc>
          <w:tcPr>
            <w:tcW w:w="5814"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一、慰问形式：发放节日用品和生活用品</w:t>
            </w:r>
          </w:p>
          <w:p>
            <w:pPr>
              <w:rPr>
                <w:color w:val="auto"/>
              </w:rPr>
            </w:pPr>
            <w:r>
              <w:rPr>
                <w:rFonts w:hint="eastAsia"/>
                <w:color w:val="auto"/>
              </w:rPr>
              <w:t>二、对供货商的要求</w:t>
            </w:r>
          </w:p>
          <w:p>
            <w:pPr>
              <w:rPr>
                <w:color w:val="auto"/>
              </w:rPr>
            </w:pPr>
            <w:r>
              <w:rPr>
                <w:color w:val="auto"/>
              </w:rPr>
              <w:t>1.</w:t>
            </w:r>
            <w:r>
              <w:rPr>
                <w:rFonts w:hint="eastAsia"/>
                <w:color w:val="auto"/>
              </w:rPr>
              <w:t>招标</w:t>
            </w:r>
            <w:r>
              <w:rPr>
                <w:color w:val="auto"/>
              </w:rPr>
              <w:t>1</w:t>
            </w:r>
            <w:r>
              <w:rPr>
                <w:rFonts w:hint="eastAsia"/>
                <w:color w:val="auto"/>
              </w:rPr>
              <w:t>家供应商；</w:t>
            </w:r>
          </w:p>
          <w:p>
            <w:pPr>
              <w:rPr>
                <w:color w:val="auto"/>
              </w:rPr>
            </w:pPr>
            <w:r>
              <w:rPr>
                <w:color w:val="auto"/>
              </w:rPr>
              <w:t>2.</w:t>
            </w:r>
            <w:r>
              <w:rPr>
                <w:rFonts w:hint="eastAsia"/>
                <w:color w:val="auto"/>
              </w:rPr>
              <w:t>供应商能够提供：粮油食品、床上用品、小家电、日用清洁、生活用品、厨房用品、水果、坚果、糖果、干货，品牌必须为大众品牌；</w:t>
            </w:r>
          </w:p>
          <w:p>
            <w:pPr>
              <w:rPr>
                <w:color w:val="auto"/>
              </w:rPr>
            </w:pPr>
            <w:r>
              <w:rPr>
                <w:color w:val="auto"/>
              </w:rPr>
              <w:t>3.</w:t>
            </w:r>
            <w:r>
              <w:rPr>
                <w:rFonts w:hint="eastAsia"/>
                <w:color w:val="auto"/>
              </w:rPr>
              <w:t>提货方式：快递到家或者门店自取。</w:t>
            </w:r>
          </w:p>
          <w:p>
            <w:pPr>
              <w:rPr>
                <w:color w:val="auto"/>
              </w:rPr>
            </w:pPr>
            <w:r>
              <w:rPr>
                <w:rFonts w:hint="eastAsia"/>
                <w:color w:val="auto"/>
              </w:rPr>
              <w:t>三、慰问人数：</w:t>
            </w:r>
          </w:p>
          <w:p>
            <w:pPr>
              <w:rPr>
                <w:color w:val="auto"/>
              </w:rPr>
            </w:pPr>
            <w:r>
              <w:rPr>
                <w:color w:val="auto"/>
              </w:rPr>
              <w:t>1.</w:t>
            </w:r>
            <w:r>
              <w:rPr>
                <w:rFonts w:hint="eastAsia"/>
                <w:color w:val="auto"/>
              </w:rPr>
              <w:t>人员共计</w:t>
            </w:r>
            <w:r>
              <w:rPr>
                <w:rFonts w:hint="eastAsia"/>
                <w:color w:val="auto"/>
                <w:lang w:val="en-US" w:eastAsia="zh-CN"/>
              </w:rPr>
              <w:t>约</w:t>
            </w:r>
            <w:r>
              <w:rPr>
                <w:color w:val="auto"/>
              </w:rPr>
              <w:t>200</w:t>
            </w:r>
            <w:r>
              <w:rPr>
                <w:rFonts w:hint="eastAsia"/>
                <w:color w:val="auto"/>
              </w:rPr>
              <w:t>人。</w:t>
            </w:r>
          </w:p>
          <w:p>
            <w:pPr>
              <w:rPr>
                <w:color w:val="auto"/>
              </w:rPr>
            </w:pPr>
            <w:r>
              <w:rPr>
                <w:rFonts w:hint="eastAsia"/>
                <w:color w:val="auto"/>
              </w:rPr>
              <w:t>四、每人按</w:t>
            </w:r>
            <w:r>
              <w:rPr>
                <w:rFonts w:hint="eastAsia"/>
                <w:color w:val="auto"/>
                <w:lang w:val="en-US" w:eastAsia="zh-CN"/>
              </w:rPr>
              <w:t>999</w:t>
            </w:r>
            <w:r>
              <w:rPr>
                <w:rFonts w:hint="eastAsia"/>
                <w:color w:val="auto"/>
              </w:rPr>
              <w:t>元标准，共计经费</w:t>
            </w:r>
            <w:r>
              <w:rPr>
                <w:rFonts w:hint="eastAsia"/>
                <w:color w:val="auto"/>
                <w:lang w:val="en-US" w:eastAsia="zh-CN"/>
              </w:rPr>
              <w:t>30</w:t>
            </w:r>
            <w:r>
              <w:rPr>
                <w:rFonts w:hint="eastAsia"/>
                <w:color w:val="auto"/>
              </w:rPr>
              <w:t>万元（届时按实际下发人数结算）。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076" w:type="dxa"/>
            <w:tcBorders>
              <w:top w:val="single" w:color="auto" w:sz="2" w:space="0"/>
              <w:left w:val="single" w:color="auto" w:sz="2" w:space="0"/>
              <w:bottom w:val="single" w:color="auto" w:sz="2" w:space="0"/>
              <w:right w:val="single" w:color="auto" w:sz="2" w:space="0"/>
            </w:tcBorders>
          </w:tcPr>
          <w:p>
            <w:pPr>
              <w:rPr>
                <w:color w:val="auto"/>
              </w:rPr>
            </w:pPr>
            <w:r>
              <w:rPr>
                <w:rFonts w:hint="eastAsia" w:ascii="宋体" w:hAnsi="宋体" w:eastAsia="宋体" w:cs="宋体"/>
                <w:color w:val="auto"/>
              </w:rPr>
              <w:t>★</w:t>
            </w:r>
          </w:p>
        </w:tc>
        <w:tc>
          <w:tcPr>
            <w:tcW w:w="426" w:type="dxa"/>
            <w:tcBorders>
              <w:top w:val="single" w:color="auto" w:sz="2" w:space="0"/>
              <w:left w:val="single" w:color="auto" w:sz="2" w:space="0"/>
              <w:bottom w:val="single" w:color="auto" w:sz="2" w:space="0"/>
              <w:right w:val="single" w:color="auto" w:sz="2" w:space="0"/>
            </w:tcBorders>
          </w:tcPr>
          <w:p>
            <w:pPr>
              <w:rPr>
                <w:color w:val="auto"/>
              </w:rPr>
            </w:pPr>
            <w:r>
              <w:rPr>
                <w:color w:val="auto"/>
              </w:rPr>
              <w:t>2</w:t>
            </w:r>
          </w:p>
        </w:tc>
        <w:tc>
          <w:tcPr>
            <w:tcW w:w="5814" w:type="dxa"/>
            <w:tcBorders>
              <w:top w:val="single" w:color="auto" w:sz="2" w:space="0"/>
              <w:left w:val="single" w:color="auto" w:sz="2" w:space="0"/>
              <w:bottom w:val="single" w:color="auto" w:sz="2" w:space="0"/>
              <w:right w:val="single" w:color="auto" w:sz="2" w:space="0"/>
            </w:tcBorders>
          </w:tcPr>
          <w:p>
            <w:pPr>
              <w:rPr>
                <w:color w:val="auto"/>
              </w:rPr>
            </w:pPr>
            <w:r>
              <w:rPr>
                <w:rFonts w:hint="eastAsia" w:ascii="宋体" w:hAnsi="宋体" w:eastAsia="宋体" w:cs="宋体"/>
                <w:color w:val="auto"/>
              </w:rPr>
              <w:t>★</w:t>
            </w:r>
            <w:r>
              <w:rPr>
                <w:rFonts w:hint="eastAsia"/>
                <w:color w:val="auto"/>
              </w:rPr>
              <w:t>供应商须提供邮寄到家送货方式（采购范围内），邮寄需按员工自选登记地点快递配送。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076" w:type="dxa"/>
            <w:tcBorders>
              <w:top w:val="single" w:color="auto" w:sz="2" w:space="0"/>
              <w:left w:val="single" w:color="auto" w:sz="2" w:space="0"/>
              <w:bottom w:val="single" w:color="auto" w:sz="2" w:space="0"/>
              <w:right w:val="single" w:color="auto" w:sz="2" w:space="0"/>
            </w:tcBorders>
          </w:tcPr>
          <w:p>
            <w:pPr>
              <w:rPr>
                <w:color w:val="auto"/>
              </w:rPr>
            </w:pPr>
            <w:r>
              <w:rPr>
                <w:rFonts w:hint="eastAsia" w:ascii="宋体" w:hAnsi="宋体" w:eastAsia="宋体" w:cs="宋体"/>
                <w:color w:val="auto"/>
              </w:rPr>
              <w:t>★</w:t>
            </w:r>
          </w:p>
        </w:tc>
        <w:tc>
          <w:tcPr>
            <w:tcW w:w="426" w:type="dxa"/>
            <w:tcBorders>
              <w:top w:val="single" w:color="auto" w:sz="2" w:space="0"/>
              <w:left w:val="single" w:color="auto" w:sz="2" w:space="0"/>
              <w:bottom w:val="single" w:color="auto" w:sz="2" w:space="0"/>
              <w:right w:val="single" w:color="auto" w:sz="2" w:space="0"/>
            </w:tcBorders>
          </w:tcPr>
          <w:p>
            <w:pPr>
              <w:rPr>
                <w:color w:val="auto"/>
              </w:rPr>
            </w:pPr>
            <w:r>
              <w:rPr>
                <w:color w:val="auto"/>
              </w:rPr>
              <w:t>3</w:t>
            </w:r>
          </w:p>
        </w:tc>
        <w:tc>
          <w:tcPr>
            <w:tcW w:w="5814" w:type="dxa"/>
            <w:tcBorders>
              <w:top w:val="single" w:color="auto" w:sz="2" w:space="0"/>
              <w:left w:val="single" w:color="auto" w:sz="2" w:space="0"/>
              <w:bottom w:val="single" w:color="auto" w:sz="2" w:space="0"/>
              <w:right w:val="single" w:color="auto" w:sz="2" w:space="0"/>
            </w:tcBorders>
          </w:tcPr>
          <w:p>
            <w:pPr>
              <w:rPr>
                <w:color w:val="auto"/>
              </w:rPr>
            </w:pPr>
            <w:r>
              <w:rPr>
                <w:rFonts w:hint="eastAsia" w:ascii="宋体" w:hAnsi="宋体" w:eastAsia="宋体" w:cs="宋体"/>
                <w:color w:val="auto"/>
              </w:rPr>
              <w:t>★</w:t>
            </w:r>
            <w:r>
              <w:rPr>
                <w:rFonts w:hint="eastAsia"/>
                <w:color w:val="auto"/>
              </w:rPr>
              <w:t>成交供应商不能以充值卡或代金券形式发放慰问品。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076" w:type="dxa"/>
            <w:tcBorders>
              <w:top w:val="single" w:color="auto" w:sz="2" w:space="0"/>
              <w:left w:val="single" w:color="auto" w:sz="2" w:space="0"/>
              <w:bottom w:val="single" w:color="auto" w:sz="2" w:space="0"/>
              <w:right w:val="single" w:color="auto" w:sz="2" w:space="0"/>
            </w:tcBorders>
          </w:tcPr>
          <w:p>
            <w:pPr>
              <w:rPr>
                <w:color w:val="auto"/>
              </w:rPr>
            </w:pPr>
          </w:p>
        </w:tc>
        <w:tc>
          <w:tcPr>
            <w:tcW w:w="426" w:type="dxa"/>
            <w:tcBorders>
              <w:top w:val="single" w:color="auto" w:sz="2" w:space="0"/>
              <w:left w:val="single" w:color="auto" w:sz="2" w:space="0"/>
              <w:bottom w:val="single" w:color="auto" w:sz="2" w:space="0"/>
              <w:right w:val="single" w:color="auto" w:sz="2" w:space="0"/>
            </w:tcBorders>
          </w:tcPr>
          <w:p>
            <w:pPr>
              <w:rPr>
                <w:color w:val="auto"/>
              </w:rPr>
            </w:pPr>
            <w:r>
              <w:rPr>
                <w:color w:val="auto"/>
              </w:rPr>
              <w:t>4</w:t>
            </w:r>
          </w:p>
        </w:tc>
        <w:tc>
          <w:tcPr>
            <w:tcW w:w="5814"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w:t>
            </w:r>
            <w:r>
              <w:rPr>
                <w:color w:val="auto"/>
              </w:rPr>
              <w:t>1</w:t>
            </w:r>
            <w:r>
              <w:rPr>
                <w:rFonts w:hint="eastAsia"/>
                <w:color w:val="auto"/>
              </w:rPr>
              <w:t>）慰问品以生活用品、生活小家电、粮食、食品为主。（茶烟酒等高端产品不在采购范围内）。</w:t>
            </w:r>
          </w:p>
          <w:p>
            <w:pPr>
              <w:rPr>
                <w:color w:val="auto"/>
              </w:rPr>
            </w:pPr>
            <w:r>
              <w:rPr>
                <w:rFonts w:hint="eastAsia"/>
                <w:color w:val="auto"/>
              </w:rPr>
              <w:t>（</w:t>
            </w:r>
            <w:r>
              <w:rPr>
                <w:color w:val="auto"/>
              </w:rPr>
              <w:t>2</w:t>
            </w:r>
            <w:r>
              <w:rPr>
                <w:rFonts w:hint="eastAsia"/>
                <w:color w:val="auto"/>
              </w:rPr>
              <w:t>）供应商可在满足磋商要求的前提下增加其他产品或服务。产品必须体现</w:t>
            </w:r>
            <w:r>
              <w:rPr>
                <w:color w:val="auto"/>
              </w:rPr>
              <w:t>“</w:t>
            </w:r>
            <w:r>
              <w:rPr>
                <w:rFonts w:hint="eastAsia"/>
                <w:color w:val="auto"/>
              </w:rPr>
              <w:t>节日慰问品</w:t>
            </w:r>
            <w:r>
              <w:rPr>
                <w:color w:val="auto"/>
              </w:rPr>
              <w:t>”</w:t>
            </w:r>
            <w:r>
              <w:rPr>
                <w:rFonts w:hint="eastAsia"/>
                <w:color w:val="auto"/>
              </w:rPr>
              <w:t>，其他与</w:t>
            </w:r>
            <w:r>
              <w:rPr>
                <w:color w:val="auto"/>
              </w:rPr>
              <w:t>“</w:t>
            </w:r>
            <w:r>
              <w:rPr>
                <w:rFonts w:hint="eastAsia"/>
                <w:color w:val="auto"/>
              </w:rPr>
              <w:t>节日慰问品</w:t>
            </w:r>
            <w:r>
              <w:rPr>
                <w:color w:val="auto"/>
              </w:rPr>
              <w:t>”</w:t>
            </w:r>
            <w:r>
              <w:rPr>
                <w:rFonts w:hint="eastAsia"/>
                <w:color w:val="auto"/>
              </w:rPr>
              <w:t>无关的产品不列入慰问品范围中。</w:t>
            </w:r>
          </w:p>
          <w:p>
            <w:pPr>
              <w:rPr>
                <w:color w:val="auto"/>
              </w:rPr>
            </w:pPr>
            <w:r>
              <w:rPr>
                <w:rFonts w:hint="eastAsia"/>
                <w:color w:val="auto"/>
              </w:rPr>
              <w:t>（</w:t>
            </w:r>
            <w:r>
              <w:rPr>
                <w:color w:val="auto"/>
              </w:rPr>
              <w:t>3</w:t>
            </w:r>
            <w:r>
              <w:rPr>
                <w:rFonts w:hint="eastAsia"/>
                <w:color w:val="auto"/>
              </w:rPr>
              <w:t>）参加评比时需提供慰问品样品供评委参考。</w:t>
            </w:r>
          </w:p>
          <w:p>
            <w:pPr>
              <w:rPr>
                <w:color w:val="auto"/>
              </w:rPr>
            </w:pPr>
            <w:r>
              <w:rPr>
                <w:rFonts w:hint="eastAsia"/>
                <w:color w:val="auto"/>
              </w:rPr>
              <w:t>（</w:t>
            </w:r>
            <w:r>
              <w:rPr>
                <w:color w:val="auto"/>
              </w:rPr>
              <w:t>4</w:t>
            </w:r>
            <w:r>
              <w:rPr>
                <w:rFonts w:hint="eastAsia"/>
                <w:color w:val="auto"/>
              </w:rPr>
              <w:t>）供应商须保证食品或饮品在达到用户指定地点时其保质期</w:t>
            </w:r>
            <w:r>
              <w:rPr>
                <w:color w:val="auto"/>
              </w:rPr>
              <w:t>6</w:t>
            </w:r>
            <w:r>
              <w:rPr>
                <w:rFonts w:hint="eastAsia"/>
                <w:color w:val="auto"/>
              </w:rPr>
              <w:t>个月或以上（水果除外），须提供质量合格证。</w:t>
            </w:r>
          </w:p>
          <w:p>
            <w:pPr>
              <w:rPr>
                <w:color w:val="auto"/>
              </w:rPr>
            </w:pPr>
            <w:r>
              <w:rPr>
                <w:rFonts w:hint="eastAsia"/>
                <w:color w:val="auto"/>
              </w:rPr>
              <w:t>（</w:t>
            </w:r>
            <w:r>
              <w:rPr>
                <w:color w:val="auto"/>
              </w:rPr>
              <w:t>5</w:t>
            </w:r>
            <w:r>
              <w:rPr>
                <w:rFonts w:hint="eastAsia"/>
                <w:color w:val="auto"/>
              </w:rPr>
              <w:t>）成交供应商收到采购人的通知后，方能供货。报价中必须包含货物购置、运输保险、质保期售后服务、全额含税发票、雇员费用（临时雇员费用、人员补贴及差旅住宿等费用）、合同实施过程中的应预见或不可预见的一切费用。</w:t>
            </w:r>
          </w:p>
          <w:p>
            <w:pPr>
              <w:rPr>
                <w:color w:val="auto"/>
              </w:rPr>
            </w:pPr>
            <w:r>
              <w:rPr>
                <w:rFonts w:hint="eastAsia"/>
                <w:color w:val="auto"/>
              </w:rPr>
              <w:t>（</w:t>
            </w:r>
            <w:r>
              <w:rPr>
                <w:color w:val="auto"/>
              </w:rPr>
              <w:t>6</w:t>
            </w:r>
            <w:r>
              <w:rPr>
                <w:rFonts w:hint="eastAsia"/>
                <w:color w:val="auto"/>
              </w:rPr>
              <w:t>）根据采购人报送的实际数量，按时按量送达慰问品。采购人将对每批次慰问品进行验收，若出现因货物质量、数量不足等须进行更换补给的情况，必须经当事人同意后供应商在一个工作日内将更换货物送至医院工会处。</w:t>
            </w:r>
          </w:p>
          <w:p>
            <w:pPr>
              <w:rPr>
                <w:color w:val="auto"/>
              </w:rPr>
            </w:pPr>
            <w:r>
              <w:rPr>
                <w:rFonts w:hint="eastAsia"/>
                <w:color w:val="auto"/>
              </w:rPr>
              <w:t>（</w:t>
            </w:r>
            <w:r>
              <w:rPr>
                <w:color w:val="auto"/>
              </w:rPr>
              <w:t>7</w:t>
            </w:r>
            <w:r>
              <w:rPr>
                <w:rFonts w:hint="eastAsia"/>
                <w:color w:val="auto"/>
              </w:rPr>
              <w:t>）成交供应商所提供的货物必须达到国家规定的质量标准和食品安全、卫生及环保等标准，在保质期内出现质量等问题，必须退换。</w:t>
            </w:r>
          </w:p>
          <w:p>
            <w:pPr>
              <w:rPr>
                <w:color w:val="auto"/>
              </w:rPr>
            </w:pPr>
            <w:r>
              <w:rPr>
                <w:rFonts w:hint="eastAsia"/>
                <w:color w:val="auto"/>
              </w:rPr>
              <w:t>（</w:t>
            </w:r>
            <w:r>
              <w:rPr>
                <w:color w:val="auto"/>
              </w:rPr>
              <w:t>8</w:t>
            </w:r>
            <w:r>
              <w:rPr>
                <w:rFonts w:hint="eastAsia"/>
                <w:color w:val="auto"/>
              </w:rPr>
              <w:t>）未按要求准时供货或备货不足造成有效投诉的，采购人可依情给予警告或处罚；情节严重取消其供货资格。</w:t>
            </w:r>
          </w:p>
          <w:p>
            <w:pPr>
              <w:rPr>
                <w:color w:val="auto"/>
              </w:rPr>
            </w:pPr>
            <w:r>
              <w:rPr>
                <w:rFonts w:hint="eastAsia"/>
                <w:color w:val="auto"/>
              </w:rPr>
              <w:t>（</w:t>
            </w:r>
            <w:r>
              <w:rPr>
                <w:color w:val="auto"/>
              </w:rPr>
              <w:t>9</w:t>
            </w:r>
            <w:r>
              <w:rPr>
                <w:rFonts w:hint="eastAsia"/>
                <w:color w:val="auto"/>
              </w:rPr>
              <w:t>）成交供应商提供的货品若在采购人抽检中发现有质量问题，依情给予一定的罚款，情节严重的取消其供货资格，且须承担由此造成的一切责任。货物抽检时未发现质量问题，而配送后发现质量问题，成交供应商须对此过程中的质量问题负责，产生的费用由成交供应商负责。</w:t>
            </w:r>
          </w:p>
          <w:p>
            <w:pPr>
              <w:rPr>
                <w:color w:val="auto"/>
              </w:rPr>
            </w:pPr>
            <w:r>
              <w:rPr>
                <w:rFonts w:hint="eastAsia"/>
                <w:color w:val="auto"/>
              </w:rPr>
              <w:t>（</w:t>
            </w:r>
            <w:r>
              <w:rPr>
                <w:color w:val="auto"/>
              </w:rPr>
              <w:t>10</w:t>
            </w:r>
            <w:r>
              <w:rPr>
                <w:rFonts w:hint="eastAsia"/>
                <w:color w:val="auto"/>
              </w:rPr>
              <w:t>）因提供的商品在食用或使用后出现不良反应，造成有效投诉的，其一切后果均由供应商负责，采购人不负任何责任并有权取消其供货资格。</w:t>
            </w:r>
          </w:p>
          <w:p>
            <w:pPr>
              <w:rPr>
                <w:color w:val="auto"/>
              </w:rPr>
            </w:pPr>
            <w:r>
              <w:rPr>
                <w:rFonts w:hint="eastAsia"/>
                <w:color w:val="auto"/>
              </w:rPr>
              <w:t>（</w:t>
            </w:r>
            <w:r>
              <w:rPr>
                <w:color w:val="auto"/>
              </w:rPr>
              <w:t>11</w:t>
            </w:r>
            <w:r>
              <w:rPr>
                <w:rFonts w:hint="eastAsia"/>
                <w:color w:val="auto"/>
              </w:rPr>
              <w:t>）本项目配送方式及地点</w:t>
            </w:r>
          </w:p>
          <w:p>
            <w:pPr>
              <w:rPr>
                <w:color w:val="auto"/>
              </w:rPr>
            </w:pPr>
            <w:r>
              <w:rPr>
                <w:rFonts w:hint="eastAsia"/>
                <w:color w:val="auto"/>
              </w:rPr>
              <w:t>按员工自选登记地点快递配送（配送费用应包含在报价内，采购人不另外支付费用。供应商应详细讲述配送方案，配送方案详尽程度和配送方式的便利性将影响供应商得分）。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076" w:type="dxa"/>
            <w:tcBorders>
              <w:top w:val="single" w:color="auto" w:sz="2" w:space="0"/>
              <w:left w:val="single" w:color="auto" w:sz="2" w:space="0"/>
              <w:bottom w:val="single" w:color="auto" w:sz="2" w:space="0"/>
              <w:right w:val="single" w:color="auto" w:sz="2" w:space="0"/>
            </w:tcBorders>
          </w:tcPr>
          <w:p>
            <w:pPr>
              <w:rPr>
                <w:color w:val="auto"/>
              </w:rPr>
            </w:pPr>
          </w:p>
        </w:tc>
        <w:tc>
          <w:tcPr>
            <w:tcW w:w="426" w:type="dxa"/>
            <w:tcBorders>
              <w:top w:val="single" w:color="auto" w:sz="2" w:space="0"/>
              <w:left w:val="single" w:color="auto" w:sz="2" w:space="0"/>
              <w:bottom w:val="single" w:color="auto" w:sz="2" w:space="0"/>
              <w:right w:val="single" w:color="auto" w:sz="2" w:space="0"/>
            </w:tcBorders>
          </w:tcPr>
          <w:p>
            <w:pPr>
              <w:rPr>
                <w:color w:val="auto"/>
              </w:rPr>
            </w:pPr>
            <w:r>
              <w:rPr>
                <w:color w:val="auto"/>
              </w:rPr>
              <w:t>5</w:t>
            </w:r>
          </w:p>
        </w:tc>
        <w:tc>
          <w:tcPr>
            <w:tcW w:w="5814"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清单要求：</w:t>
            </w:r>
          </w:p>
          <w:p>
            <w:pPr>
              <w:rPr>
                <w:color w:val="auto"/>
              </w:rPr>
            </w:pPr>
            <w:r>
              <w:rPr>
                <w:rFonts w:hint="eastAsia"/>
                <w:color w:val="auto"/>
              </w:rPr>
              <w:t>供应商必须提供产品平台清单列表，且提供与京东、苏宁或天猫超市网上平台的相同（同等）产品价格的逐项对比列表。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076" w:type="dxa"/>
            <w:tcBorders>
              <w:top w:val="single" w:color="auto" w:sz="2" w:space="0"/>
              <w:left w:val="single" w:color="auto" w:sz="2" w:space="0"/>
              <w:bottom w:val="single" w:color="auto" w:sz="2" w:space="0"/>
              <w:right w:val="single" w:color="auto" w:sz="2" w:space="0"/>
            </w:tcBorders>
          </w:tcPr>
          <w:p>
            <w:pPr>
              <w:rPr>
                <w:color w:val="auto"/>
              </w:rPr>
            </w:pPr>
          </w:p>
        </w:tc>
        <w:tc>
          <w:tcPr>
            <w:tcW w:w="426" w:type="dxa"/>
            <w:tcBorders>
              <w:top w:val="single" w:color="auto" w:sz="2" w:space="0"/>
              <w:left w:val="single" w:color="auto" w:sz="2" w:space="0"/>
              <w:bottom w:val="single" w:color="auto" w:sz="2" w:space="0"/>
              <w:right w:val="single" w:color="auto" w:sz="2" w:space="0"/>
            </w:tcBorders>
          </w:tcPr>
          <w:p>
            <w:pPr>
              <w:rPr>
                <w:color w:val="auto"/>
              </w:rPr>
            </w:pPr>
            <w:r>
              <w:rPr>
                <w:color w:val="auto"/>
              </w:rPr>
              <w:t>6</w:t>
            </w:r>
          </w:p>
        </w:tc>
        <w:tc>
          <w:tcPr>
            <w:tcW w:w="5814"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交货方式：</w:t>
            </w:r>
          </w:p>
          <w:p>
            <w:pPr>
              <w:rPr>
                <w:color w:val="auto"/>
              </w:rPr>
            </w:pPr>
            <w:r>
              <w:rPr>
                <w:rFonts w:hint="eastAsia"/>
                <w:color w:val="auto"/>
              </w:rPr>
              <w:t>（</w:t>
            </w:r>
            <w:r>
              <w:rPr>
                <w:color w:val="auto"/>
              </w:rPr>
              <w:t>1</w:t>
            </w:r>
            <w:r>
              <w:rPr>
                <w:rFonts w:hint="eastAsia"/>
                <w:color w:val="auto"/>
              </w:rPr>
              <w:t>）交货时间：合同生效，接到医院通知后</w:t>
            </w:r>
            <w:r>
              <w:rPr>
                <w:color w:val="auto"/>
              </w:rPr>
              <w:t>7</w:t>
            </w:r>
            <w:r>
              <w:rPr>
                <w:rFonts w:hint="eastAsia"/>
                <w:color w:val="auto"/>
              </w:rPr>
              <w:t>个日历天内完成交货、包装、配送、验收并交付用户使用。</w:t>
            </w:r>
          </w:p>
          <w:p>
            <w:pPr>
              <w:rPr>
                <w:color w:val="auto"/>
              </w:rPr>
            </w:pPr>
            <w:r>
              <w:rPr>
                <w:rFonts w:hint="eastAsia"/>
                <w:color w:val="auto"/>
              </w:rPr>
              <w:t>（</w:t>
            </w:r>
            <w:r>
              <w:rPr>
                <w:color w:val="auto"/>
              </w:rPr>
              <w:t>2</w:t>
            </w:r>
            <w:r>
              <w:rPr>
                <w:rFonts w:hint="eastAsia"/>
                <w:color w:val="auto"/>
              </w:rPr>
              <w:t>）实施地点：按员工自报地址免费邮寄配送（全国包邮）。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076"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说明</w:t>
            </w:r>
          </w:p>
        </w:tc>
        <w:tc>
          <w:tcPr>
            <w:tcW w:w="6240" w:type="dxa"/>
            <w:gridSpan w:val="2"/>
            <w:tcBorders>
              <w:top w:val="single" w:color="auto" w:sz="2" w:space="0"/>
              <w:left w:val="single" w:color="auto" w:sz="2" w:space="0"/>
              <w:bottom w:val="single" w:color="auto" w:sz="2" w:space="0"/>
              <w:right w:val="single" w:color="auto" w:sz="2" w:space="0"/>
            </w:tcBorders>
          </w:tcPr>
          <w:p>
            <w:pPr>
              <w:rPr>
                <w:rFonts w:hint="eastAsia" w:eastAsiaTheme="minorEastAsia"/>
                <w:color w:val="auto"/>
                <w:lang w:eastAsia="zh-CN"/>
              </w:rPr>
            </w:pPr>
            <w:r>
              <w:rPr>
                <w:rFonts w:hint="eastAsia"/>
                <w:color w:val="auto"/>
              </w:rPr>
              <w:t>打</w:t>
            </w:r>
            <w:r>
              <w:rPr>
                <w:color w:val="auto"/>
              </w:rPr>
              <w:t>“</w:t>
            </w:r>
            <w:r>
              <w:rPr>
                <w:rFonts w:hint="eastAsia" w:ascii="宋体" w:hAnsi="宋体" w:eastAsia="宋体" w:cs="宋体"/>
                <w:color w:val="auto"/>
              </w:rPr>
              <w:t>★</w:t>
            </w:r>
            <w:r>
              <w:rPr>
                <w:rFonts w:ascii="Calibri" w:hAnsi="Calibri" w:cs="Calibri"/>
                <w:color w:val="auto"/>
              </w:rPr>
              <w:t>”</w:t>
            </w:r>
            <w:r>
              <w:rPr>
                <w:rFonts w:hint="eastAsia"/>
                <w:color w:val="auto"/>
              </w:rPr>
              <w:t>号条款为实质性条款，若有任何一条负偏离或不满足则导致投标无效。</w:t>
            </w:r>
          </w:p>
          <w:p>
            <w:pPr>
              <w:rPr>
                <w:color w:val="auto"/>
              </w:rPr>
            </w:pPr>
            <w:r>
              <w:rPr>
                <w:rFonts w:hint="eastAsia"/>
                <w:color w:val="auto"/>
              </w:rPr>
              <w:t>打</w:t>
            </w:r>
            <w:r>
              <w:rPr>
                <w:color w:val="auto"/>
              </w:rPr>
              <w:t>“</w:t>
            </w:r>
            <w:r>
              <w:rPr>
                <w:rFonts w:ascii="Arial" w:hAnsi="Arial" w:cs="Arial"/>
                <w:color w:val="auto"/>
              </w:rPr>
              <w:t>▲</w:t>
            </w:r>
            <w:r>
              <w:rPr>
                <w:rFonts w:ascii="Calibri" w:hAnsi="Calibri" w:cs="Calibri"/>
                <w:color w:val="auto"/>
              </w:rPr>
              <w:t>”</w:t>
            </w:r>
            <w:r>
              <w:rPr>
                <w:rFonts w:hint="eastAsia"/>
                <w:color w:val="auto"/>
              </w:rPr>
              <w:t>号条款为重要技术参数，若有部分</w:t>
            </w:r>
            <w:r>
              <w:rPr>
                <w:color w:val="auto"/>
              </w:rPr>
              <w:t>“</w:t>
            </w:r>
            <w:r>
              <w:rPr>
                <w:rFonts w:ascii="Arial" w:hAnsi="Arial" w:cs="Arial"/>
                <w:color w:val="auto"/>
              </w:rPr>
              <w:t>▲</w:t>
            </w:r>
            <w:r>
              <w:rPr>
                <w:rFonts w:ascii="Calibri" w:hAnsi="Calibri" w:cs="Calibri"/>
                <w:color w:val="auto"/>
              </w:rPr>
              <w:t>”</w:t>
            </w:r>
            <w:r>
              <w:rPr>
                <w:rFonts w:hint="eastAsia"/>
                <w:color w:val="auto"/>
              </w:rPr>
              <w:t>条款未响应或不满足，将导致其响应性评审加重扣分，但不作为无效投标条款。</w:t>
            </w:r>
          </w:p>
        </w:tc>
      </w:tr>
    </w:tbl>
    <w:p>
      <w:pPr>
        <w:rPr>
          <w:color w:val="auto"/>
        </w:rPr>
      </w:pPr>
    </w:p>
    <w:p>
      <w:pPr>
        <w:rPr>
          <w:color w:val="auto"/>
        </w:rPr>
      </w:pPr>
      <w:r>
        <w:rPr>
          <w:rFonts w:hint="eastAsia"/>
          <w:color w:val="auto"/>
        </w:rPr>
        <w:t>五、其它补充事宜</w:t>
      </w:r>
    </w:p>
    <w:p>
      <w:pPr>
        <w:rPr>
          <w:color w:val="auto"/>
        </w:rPr>
      </w:pPr>
      <w:r>
        <w:rPr>
          <w:rFonts w:hint="eastAsia"/>
          <w:color w:val="auto"/>
        </w:rPr>
        <w:t>（一）参选人资格要求：</w:t>
      </w:r>
      <w:r>
        <w:rPr>
          <w:color w:val="auto"/>
        </w:rPr>
        <w:t>   </w:t>
      </w:r>
    </w:p>
    <w:p>
      <w:pPr>
        <w:rPr>
          <w:color w:val="auto"/>
        </w:rPr>
      </w:pPr>
      <w:r>
        <w:rPr>
          <w:color w:val="auto"/>
        </w:rPr>
        <w:t xml:space="preserve">1. </w:t>
      </w:r>
      <w:r>
        <w:rPr>
          <w:rFonts w:hint="eastAsia"/>
          <w:color w:val="auto"/>
        </w:rPr>
        <w:t>必须是具有独立承担民事责任能力的在中华人民共和国境内注册的法人或其他组织或自然人，分公司参选的，必须由具有法人资格的总公司授权；</w:t>
      </w:r>
    </w:p>
    <w:p>
      <w:pPr>
        <w:rPr>
          <w:color w:val="auto"/>
        </w:rPr>
      </w:pPr>
      <w:r>
        <w:rPr>
          <w:color w:val="auto"/>
        </w:rPr>
        <w:t xml:space="preserve">2. </w:t>
      </w:r>
      <w:r>
        <w:rPr>
          <w:rFonts w:hint="eastAsia"/>
          <w:color w:val="auto"/>
        </w:rPr>
        <w:t>具备以下资格条件：</w:t>
      </w:r>
    </w:p>
    <w:p>
      <w:pPr>
        <w:rPr>
          <w:color w:val="auto"/>
        </w:rPr>
      </w:pPr>
      <w:r>
        <w:rPr>
          <w:color w:val="auto"/>
        </w:rPr>
        <w:t xml:space="preserve">2.1 </w:t>
      </w:r>
      <w:r>
        <w:rPr>
          <w:rFonts w:hint="eastAsia"/>
          <w:color w:val="auto"/>
        </w:rPr>
        <w:t>提供在中华人民共和国境内有效的执照（或证书）副本、组织机构代码证、税务登记证（国税、地税）复印件或三证合一证明文件复印件证明，参选人需提供完整的最新股东信息（若有）。分公司参选的，必须提供总公司的营业执照副本复印件及总公司针对本项目参选的授权书原件；如参选人为自然人的需提供自然人身份证明；</w:t>
      </w:r>
    </w:p>
    <w:p>
      <w:pPr>
        <w:rPr>
          <w:color w:val="auto"/>
        </w:rPr>
      </w:pPr>
      <w:r>
        <w:rPr>
          <w:color w:val="auto"/>
        </w:rPr>
        <w:t>2.2</w:t>
      </w:r>
      <w:r>
        <w:rPr>
          <w:rFonts w:hint="eastAsia"/>
          <w:color w:val="auto"/>
        </w:rPr>
        <w:t>具有依法缴纳税收和社会保障资金的良好记录；（提供至开启报价截止之日前</w:t>
      </w:r>
      <w:r>
        <w:rPr>
          <w:color w:val="auto"/>
        </w:rPr>
        <w:t>12</w:t>
      </w:r>
      <w:r>
        <w:rPr>
          <w:rFonts w:hint="eastAsia"/>
          <w:color w:val="auto"/>
        </w:rPr>
        <w:t>个月内任意一个月依法缴纳税收和社会保障资金相关证明材料；如依法免税和依法不需要缴纳社会保障资金，则须提供相应文件证明其依法免税和不需要缴纳社会保障资金）；</w:t>
      </w:r>
    </w:p>
    <w:p>
      <w:pPr>
        <w:rPr>
          <w:color w:val="auto"/>
        </w:rPr>
      </w:pPr>
      <w:r>
        <w:rPr>
          <w:color w:val="auto"/>
        </w:rPr>
        <w:t>2.3</w:t>
      </w:r>
      <w:r>
        <w:rPr>
          <w:rFonts w:hint="eastAsia"/>
          <w:color w:val="auto"/>
        </w:rPr>
        <w:t>具有良好的商业信誉和健全的财务会计制度；（提供体现</w:t>
      </w:r>
      <w:r>
        <w:rPr>
          <w:color w:val="auto"/>
        </w:rPr>
        <w:t>202</w:t>
      </w:r>
      <w:r>
        <w:rPr>
          <w:rFonts w:hint="eastAsia"/>
          <w:color w:val="auto"/>
          <w:lang w:val="en-US" w:eastAsia="zh-CN"/>
        </w:rPr>
        <w:t>1</w:t>
      </w:r>
      <w:r>
        <w:rPr>
          <w:rFonts w:hint="eastAsia"/>
          <w:color w:val="auto"/>
        </w:rPr>
        <w:t>年、</w:t>
      </w:r>
      <w:r>
        <w:rPr>
          <w:color w:val="auto"/>
        </w:rPr>
        <w:t>202</w:t>
      </w:r>
      <w:r>
        <w:rPr>
          <w:rFonts w:hint="eastAsia"/>
          <w:color w:val="auto"/>
          <w:lang w:val="en-US" w:eastAsia="zh-CN"/>
        </w:rPr>
        <w:t>2</w:t>
      </w:r>
      <w:r>
        <w:rPr>
          <w:rFonts w:hint="eastAsia"/>
          <w:color w:val="auto"/>
        </w:rPr>
        <w:t>年或</w:t>
      </w:r>
      <w:r>
        <w:rPr>
          <w:color w:val="auto"/>
        </w:rPr>
        <w:t>202</w:t>
      </w:r>
      <w:r>
        <w:rPr>
          <w:rFonts w:hint="eastAsia"/>
          <w:color w:val="auto"/>
          <w:lang w:val="en-US" w:eastAsia="zh-CN"/>
        </w:rPr>
        <w:t>3</w:t>
      </w:r>
      <w:r>
        <w:rPr>
          <w:rFonts w:hint="eastAsia"/>
          <w:color w:val="auto"/>
        </w:rPr>
        <w:t>年财务状况的证明文件或银行出具的资信证明）；</w:t>
      </w:r>
    </w:p>
    <w:p>
      <w:pPr>
        <w:rPr>
          <w:color w:val="auto"/>
        </w:rPr>
      </w:pPr>
      <w:r>
        <w:rPr>
          <w:color w:val="auto"/>
        </w:rPr>
        <w:t xml:space="preserve">2.4 </w:t>
      </w:r>
      <w:r>
        <w:rPr>
          <w:rFonts w:hint="eastAsia"/>
          <w:color w:val="auto"/>
        </w:rPr>
        <w:t>具有履行合同所必需的设备和专业技术能力（提供资格文件声明函）；</w:t>
      </w:r>
    </w:p>
    <w:p>
      <w:pPr>
        <w:rPr>
          <w:color w:val="auto"/>
        </w:rPr>
      </w:pPr>
      <w:r>
        <w:rPr>
          <w:color w:val="auto"/>
        </w:rPr>
        <w:t xml:space="preserve">2.5 </w:t>
      </w:r>
      <w:r>
        <w:rPr>
          <w:rFonts w:hint="eastAsia"/>
          <w:color w:val="auto"/>
        </w:rPr>
        <w:t>参加政府采购活动前三年内，在经营活动中没有重大违法记录【重大违法记录，是指参选人因违法经营受到刑事处罚或者责令停产停业、吊销许可证或者执照、较大数额罚款等行政处罚。（</w:t>
      </w:r>
      <w:r>
        <w:rPr>
          <w:color w:val="auto"/>
        </w:rPr>
        <w:t>“</w:t>
      </w:r>
      <w:r>
        <w:rPr>
          <w:rFonts w:hint="eastAsia"/>
          <w:color w:val="auto"/>
        </w:rPr>
        <w:t>较大数额罚款</w:t>
      </w:r>
      <w:r>
        <w:rPr>
          <w:color w:val="auto"/>
        </w:rPr>
        <w:t>”</w:t>
      </w:r>
      <w:r>
        <w:rPr>
          <w:rFonts w:hint="eastAsia"/>
          <w:color w:val="auto"/>
        </w:rPr>
        <w:t>认定为</w:t>
      </w:r>
      <w:r>
        <w:rPr>
          <w:color w:val="auto"/>
        </w:rPr>
        <w:t>200</w:t>
      </w:r>
      <w:r>
        <w:rPr>
          <w:rFonts w:hint="eastAsia"/>
          <w:color w:val="auto"/>
        </w:rPr>
        <w:t>万元以上的罚款，法律、行政法规以及国务院有关部门明确规定相关领域</w:t>
      </w:r>
      <w:r>
        <w:rPr>
          <w:color w:val="auto"/>
        </w:rPr>
        <w:t>“</w:t>
      </w:r>
      <w:r>
        <w:rPr>
          <w:rFonts w:hint="eastAsia"/>
          <w:color w:val="auto"/>
        </w:rPr>
        <w:t>较大数额罚款</w:t>
      </w:r>
      <w:r>
        <w:rPr>
          <w:color w:val="auto"/>
        </w:rPr>
        <w:t>”</w:t>
      </w:r>
      <w:r>
        <w:rPr>
          <w:rFonts w:hint="eastAsia"/>
          <w:color w:val="auto"/>
        </w:rPr>
        <w:t>标准高于</w:t>
      </w:r>
      <w:r>
        <w:rPr>
          <w:color w:val="auto"/>
        </w:rPr>
        <w:t>200</w:t>
      </w:r>
      <w:r>
        <w:rPr>
          <w:rFonts w:hint="eastAsia"/>
          <w:color w:val="auto"/>
        </w:rPr>
        <w:t>万元的，从其规定。）】（提供资格文件声明函）；</w:t>
      </w:r>
    </w:p>
    <w:p>
      <w:pPr>
        <w:rPr>
          <w:color w:val="auto"/>
        </w:rPr>
      </w:pPr>
      <w:r>
        <w:rPr>
          <w:color w:val="auto"/>
        </w:rPr>
        <w:t xml:space="preserve">2.6 </w:t>
      </w:r>
      <w:r>
        <w:rPr>
          <w:rFonts w:hint="eastAsia"/>
          <w:color w:val="auto"/>
        </w:rPr>
        <w:t>法律、行政法规规定的其他条件（提供资格文件声明函）。</w:t>
      </w:r>
    </w:p>
    <w:p>
      <w:pPr>
        <w:rPr>
          <w:color w:val="auto"/>
        </w:rPr>
      </w:pPr>
      <w:r>
        <w:rPr>
          <w:color w:val="auto"/>
        </w:rPr>
        <w:t xml:space="preserve">3. </w:t>
      </w:r>
      <w:r>
        <w:rPr>
          <w:rFonts w:hint="eastAsia"/>
          <w:color w:val="auto"/>
        </w:rPr>
        <w:t>有效期内的《食品生产许可证》或《食品经营许可证》，提供证书复印件；</w:t>
      </w:r>
    </w:p>
    <w:p>
      <w:pPr>
        <w:rPr>
          <w:color w:val="auto"/>
        </w:rPr>
      </w:pPr>
      <w:r>
        <w:rPr>
          <w:color w:val="auto"/>
        </w:rPr>
        <w:t>4.</w:t>
      </w:r>
      <w:r>
        <w:rPr>
          <w:rFonts w:hint="eastAsia"/>
          <w:color w:val="auto"/>
        </w:rPr>
        <w:t>提供的商品必须符合现行国家标准、《产品质量法》等规定。</w:t>
      </w:r>
    </w:p>
    <w:p>
      <w:pPr>
        <w:rPr>
          <w:color w:val="auto"/>
        </w:rPr>
      </w:pPr>
      <w:r>
        <w:rPr>
          <w:rFonts w:hint="eastAsia"/>
          <w:color w:val="auto"/>
        </w:rPr>
        <w:t>（二）、比选程序</w:t>
      </w:r>
    </w:p>
    <w:p>
      <w:pPr>
        <w:rPr>
          <w:color w:val="auto"/>
        </w:rPr>
      </w:pPr>
      <w:r>
        <w:rPr>
          <w:color w:val="auto"/>
        </w:rPr>
        <w:t>1.</w:t>
      </w:r>
      <w:r>
        <w:rPr>
          <w:rFonts w:hint="eastAsia"/>
          <w:color w:val="auto"/>
        </w:rPr>
        <w:t>资格性审查</w:t>
      </w:r>
    </w:p>
    <w:p>
      <w:pPr>
        <w:ind w:firstLine="420" w:firstLineChars="200"/>
        <w:rPr>
          <w:color w:val="auto"/>
        </w:rPr>
      </w:pPr>
      <w:r>
        <w:rPr>
          <w:rFonts w:hint="eastAsia"/>
          <w:color w:val="auto"/>
        </w:rPr>
        <w:t>医院采购小组根据《资格性审查表》（附表一）的内容逐条对响应文件进行评审，审查每份响应文件的相关资格证明文件是否齐全有效。审查每家供应商是否实质满足上述参选资格，只要不满足《资格性审查表》所列各项要求之一的，将被认定为无效响应。对响应有效性认定意见不一致的，采购小组按少数服从多数原则表决决定。</w:t>
      </w:r>
    </w:p>
    <w:p>
      <w:pPr>
        <w:rPr>
          <w:color w:val="auto"/>
        </w:rPr>
      </w:pPr>
      <w:r>
        <w:rPr>
          <w:rFonts w:hint="eastAsia"/>
          <w:color w:val="auto"/>
        </w:rPr>
        <w:t>采购小组对各磋商供应商进行资格性过程中，对初步被认定为初审不合格或无效响应者应实行及时告知，由医院采购小组将集体意见及时告知报价当事人。</w:t>
      </w:r>
    </w:p>
    <w:p>
      <w:pPr>
        <w:rPr>
          <w:color w:val="auto"/>
        </w:rPr>
      </w:pPr>
      <w:r>
        <w:rPr>
          <w:rFonts w:hint="eastAsia"/>
          <w:color w:val="auto"/>
        </w:rPr>
        <w:t>表一资格性审查表：</w:t>
      </w:r>
    </w:p>
    <w:p>
      <w:pPr>
        <w:rPr>
          <w:color w:val="auto"/>
        </w:rPr>
      </w:pPr>
    </w:p>
    <w:p>
      <w:pPr>
        <w:rPr>
          <w:color w:val="auto"/>
        </w:rPr>
      </w:pPr>
    </w:p>
    <w:tbl>
      <w:tblPr>
        <w:tblStyle w:val="2"/>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890"/>
        <w:gridCol w:w="3178"/>
        <w:gridCol w:w="42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90"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序号</w:t>
            </w:r>
          </w:p>
        </w:tc>
        <w:tc>
          <w:tcPr>
            <w:tcW w:w="7416" w:type="dxa"/>
            <w:gridSpan w:val="2"/>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资格审查内容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90" w:type="dxa"/>
            <w:tcBorders>
              <w:top w:val="single" w:color="auto" w:sz="2" w:space="0"/>
              <w:left w:val="single" w:color="auto" w:sz="2" w:space="0"/>
              <w:bottom w:val="single" w:color="auto" w:sz="2" w:space="0"/>
              <w:right w:val="single" w:color="auto" w:sz="2" w:space="0"/>
            </w:tcBorders>
          </w:tcPr>
          <w:p>
            <w:pPr>
              <w:rPr>
                <w:color w:val="auto"/>
              </w:rPr>
            </w:pPr>
            <w:r>
              <w:rPr>
                <w:color w:val="auto"/>
              </w:rPr>
              <w:t>1</w:t>
            </w:r>
          </w:p>
        </w:tc>
        <w:tc>
          <w:tcPr>
            <w:tcW w:w="3178"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具有独立承担民事责任的能力</w:t>
            </w:r>
          </w:p>
        </w:tc>
        <w:tc>
          <w:tcPr>
            <w:tcW w:w="4238"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90" w:type="dxa"/>
            <w:tcBorders>
              <w:top w:val="single" w:color="auto" w:sz="2" w:space="0"/>
              <w:left w:val="single" w:color="auto" w:sz="2" w:space="0"/>
              <w:bottom w:val="single" w:color="auto" w:sz="2" w:space="0"/>
              <w:right w:val="single" w:color="auto" w:sz="2" w:space="0"/>
            </w:tcBorders>
          </w:tcPr>
          <w:p>
            <w:pPr>
              <w:rPr>
                <w:color w:val="auto"/>
              </w:rPr>
            </w:pPr>
            <w:r>
              <w:rPr>
                <w:color w:val="auto"/>
              </w:rPr>
              <w:t>2</w:t>
            </w:r>
          </w:p>
        </w:tc>
        <w:tc>
          <w:tcPr>
            <w:tcW w:w="3178"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有依法缴纳税收和社会保障资金的良好记录</w:t>
            </w:r>
          </w:p>
        </w:tc>
        <w:tc>
          <w:tcPr>
            <w:tcW w:w="4238"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有依法缴纳税收和社会保障资金的良好记录：提供声明函。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90" w:type="dxa"/>
            <w:tcBorders>
              <w:top w:val="single" w:color="auto" w:sz="2" w:space="0"/>
              <w:left w:val="single" w:color="auto" w:sz="2" w:space="0"/>
              <w:bottom w:val="single" w:color="auto" w:sz="2" w:space="0"/>
              <w:right w:val="single" w:color="auto" w:sz="2" w:space="0"/>
            </w:tcBorders>
          </w:tcPr>
          <w:p>
            <w:pPr>
              <w:rPr>
                <w:color w:val="auto"/>
              </w:rPr>
            </w:pPr>
            <w:r>
              <w:rPr>
                <w:color w:val="auto"/>
              </w:rPr>
              <w:t>3</w:t>
            </w:r>
          </w:p>
        </w:tc>
        <w:tc>
          <w:tcPr>
            <w:tcW w:w="3178"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具有良好的商业信誉和健全的财务会计制度</w:t>
            </w:r>
          </w:p>
        </w:tc>
        <w:tc>
          <w:tcPr>
            <w:tcW w:w="4238"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具有良好的商业信誉和健全的财务会计制度：提供声明函。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90" w:type="dxa"/>
            <w:tcBorders>
              <w:top w:val="single" w:color="auto" w:sz="2" w:space="0"/>
              <w:left w:val="single" w:color="auto" w:sz="2" w:space="0"/>
              <w:bottom w:val="single" w:color="auto" w:sz="2" w:space="0"/>
              <w:right w:val="single" w:color="auto" w:sz="2" w:space="0"/>
            </w:tcBorders>
          </w:tcPr>
          <w:p>
            <w:pPr>
              <w:rPr>
                <w:color w:val="auto"/>
              </w:rPr>
            </w:pPr>
            <w:r>
              <w:rPr>
                <w:color w:val="auto"/>
              </w:rPr>
              <w:t>4</w:t>
            </w:r>
          </w:p>
        </w:tc>
        <w:tc>
          <w:tcPr>
            <w:tcW w:w="3178"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履行合同所必需的设备和专业技术能力</w:t>
            </w:r>
          </w:p>
        </w:tc>
        <w:tc>
          <w:tcPr>
            <w:tcW w:w="4238"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履行合同所必需的设备和专业技术能力：提供声明函。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90" w:type="dxa"/>
            <w:tcBorders>
              <w:top w:val="single" w:color="auto" w:sz="2" w:space="0"/>
              <w:left w:val="single" w:color="auto" w:sz="2" w:space="0"/>
              <w:bottom w:val="single" w:color="auto" w:sz="2" w:space="0"/>
              <w:right w:val="single" w:color="auto" w:sz="2" w:space="0"/>
            </w:tcBorders>
          </w:tcPr>
          <w:p>
            <w:pPr>
              <w:rPr>
                <w:color w:val="auto"/>
              </w:rPr>
            </w:pPr>
            <w:r>
              <w:rPr>
                <w:color w:val="auto"/>
              </w:rPr>
              <w:t>5</w:t>
            </w:r>
          </w:p>
        </w:tc>
        <w:tc>
          <w:tcPr>
            <w:tcW w:w="3178"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参加采购活动前</w:t>
            </w:r>
            <w:r>
              <w:rPr>
                <w:color w:val="auto"/>
              </w:rPr>
              <w:t>3</w:t>
            </w:r>
            <w:r>
              <w:rPr>
                <w:rFonts w:hint="eastAsia"/>
                <w:color w:val="auto"/>
              </w:rPr>
              <w:t>年内，在经营活动中没有重大违法记录</w:t>
            </w:r>
          </w:p>
        </w:tc>
        <w:tc>
          <w:tcPr>
            <w:tcW w:w="4238"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在经营活动中没有重大违法记录：参照投标（报价）函相关承诺格式内容。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90" w:type="dxa"/>
            <w:tcBorders>
              <w:top w:val="single" w:color="auto" w:sz="2" w:space="0"/>
              <w:left w:val="single" w:color="auto" w:sz="2" w:space="0"/>
              <w:bottom w:val="single" w:color="auto" w:sz="2" w:space="0"/>
              <w:right w:val="single" w:color="auto" w:sz="2" w:space="0"/>
            </w:tcBorders>
          </w:tcPr>
          <w:p>
            <w:pPr>
              <w:rPr>
                <w:color w:val="auto"/>
              </w:rPr>
            </w:pPr>
            <w:r>
              <w:rPr>
                <w:color w:val="auto"/>
              </w:rPr>
              <w:t>6</w:t>
            </w:r>
          </w:p>
        </w:tc>
        <w:tc>
          <w:tcPr>
            <w:tcW w:w="3178"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信用记录</w:t>
            </w:r>
          </w:p>
        </w:tc>
        <w:tc>
          <w:tcPr>
            <w:tcW w:w="4238"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供应商未被列入</w:t>
            </w:r>
            <w:r>
              <w:rPr>
                <w:color w:val="auto"/>
              </w:rPr>
              <w:t>“</w:t>
            </w:r>
            <w:r>
              <w:rPr>
                <w:rFonts w:hint="eastAsia"/>
                <w:color w:val="auto"/>
              </w:rPr>
              <w:t>信用中国</w:t>
            </w:r>
            <w:r>
              <w:rPr>
                <w:color w:val="auto"/>
              </w:rPr>
              <w:t>”</w:t>
            </w:r>
            <w:r>
              <w:rPr>
                <w:rFonts w:hint="eastAsia"/>
                <w:color w:val="auto"/>
              </w:rPr>
              <w:t>网站</w:t>
            </w:r>
            <w:r>
              <w:rPr>
                <w:color w:val="auto"/>
              </w:rPr>
              <w:t>(www.creditchina.gov.cn)“</w:t>
            </w:r>
            <w:r>
              <w:rPr>
                <w:rFonts w:hint="eastAsia"/>
                <w:color w:val="auto"/>
              </w:rPr>
              <w:t>记录失信被执行人或重大税收违法案件当事人名单（即重大税收违法失信主体）</w:t>
            </w:r>
            <w:r>
              <w:rPr>
                <w:color w:val="auto"/>
              </w:rPr>
              <w:t>”</w:t>
            </w:r>
            <w:r>
              <w:rPr>
                <w:rFonts w:hint="eastAsia"/>
                <w:color w:val="auto"/>
              </w:rPr>
              <w:t>记录名单；不处于中国政府采购网</w:t>
            </w:r>
            <w:r>
              <w:rPr>
                <w:color w:val="auto"/>
              </w:rPr>
              <w:t>(www.ccgp.gov.cn)“</w:t>
            </w:r>
            <w:r>
              <w:rPr>
                <w:rFonts w:hint="eastAsia"/>
                <w:color w:val="auto"/>
              </w:rPr>
              <w:t>政府采购严重违法失信行为信息记录</w:t>
            </w:r>
            <w:r>
              <w:rPr>
                <w:color w:val="auto"/>
              </w:rPr>
              <w:t>”</w:t>
            </w:r>
            <w:r>
              <w:rPr>
                <w:rFonts w:hint="eastAsia"/>
                <w:color w:val="auto"/>
              </w:rPr>
              <w:t>中的禁止参加政府采购活动期间。（以采购代理机构于投标（响应）截止时间当天在</w:t>
            </w:r>
            <w:r>
              <w:rPr>
                <w:color w:val="auto"/>
              </w:rPr>
              <w:t>“</w:t>
            </w:r>
            <w:r>
              <w:rPr>
                <w:rFonts w:hint="eastAsia"/>
                <w:color w:val="auto"/>
              </w:rPr>
              <w:t>信用中国</w:t>
            </w:r>
            <w:r>
              <w:rPr>
                <w:color w:val="auto"/>
              </w:rPr>
              <w:t>”</w:t>
            </w:r>
            <w:r>
              <w:rPr>
                <w:rFonts w:hint="eastAsia"/>
                <w:color w:val="auto"/>
              </w:rPr>
              <w:t>网站（</w:t>
            </w:r>
            <w:r>
              <w:rPr>
                <w:color w:val="auto"/>
              </w:rPr>
              <w:t>www.creditchina.gov.cn</w:t>
            </w:r>
            <w:r>
              <w:rPr>
                <w:rFonts w:hint="eastAsia"/>
                <w:color w:val="auto"/>
              </w:rPr>
              <w:t>）及中国政府采购网（</w:t>
            </w:r>
            <w:r>
              <w:rPr>
                <w:color w:val="auto"/>
              </w:rPr>
              <w:t>http://www.ccgp.gov.cn/</w:t>
            </w:r>
            <w:r>
              <w:rPr>
                <w:rFonts w:hint="eastAsia"/>
                <w:color w:val="auto"/>
              </w:rPr>
              <w:t>）查询结果为准，如相关失信记录已失效，供应商需提供相关证明资料）。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90" w:type="dxa"/>
            <w:tcBorders>
              <w:top w:val="single" w:color="auto" w:sz="2" w:space="0"/>
              <w:left w:val="single" w:color="auto" w:sz="2" w:space="0"/>
              <w:bottom w:val="single" w:color="auto" w:sz="2" w:space="0"/>
              <w:right w:val="single" w:color="auto" w:sz="2" w:space="0"/>
            </w:tcBorders>
          </w:tcPr>
          <w:p>
            <w:pPr>
              <w:rPr>
                <w:color w:val="auto"/>
              </w:rPr>
            </w:pPr>
            <w:r>
              <w:rPr>
                <w:color w:val="auto"/>
              </w:rPr>
              <w:t>7</w:t>
            </w:r>
          </w:p>
        </w:tc>
        <w:tc>
          <w:tcPr>
            <w:tcW w:w="3178"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供应商必须符合法律、行政法规规定的其他条件</w:t>
            </w:r>
          </w:p>
        </w:tc>
        <w:tc>
          <w:tcPr>
            <w:tcW w:w="4238"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单位负责人为同一人或者存在直接控股、管理关系的不同供应商，不得同时参加本采购项目（或采购包）投标（响应）。为本项目提供整体设计、规范编制或者项目管理、监理、检测等服务的供应商，不得再参与本项目投标（响应）。投标（报价）函相关承诺要求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90" w:type="dxa"/>
            <w:tcBorders>
              <w:top w:val="single" w:color="auto" w:sz="2" w:space="0"/>
              <w:left w:val="single" w:color="auto" w:sz="2" w:space="0"/>
              <w:bottom w:val="single" w:color="auto" w:sz="2" w:space="0"/>
              <w:right w:val="single" w:color="auto" w:sz="2" w:space="0"/>
            </w:tcBorders>
          </w:tcPr>
          <w:p>
            <w:pPr>
              <w:rPr>
                <w:color w:val="auto"/>
              </w:rPr>
            </w:pPr>
            <w:r>
              <w:rPr>
                <w:color w:val="auto"/>
              </w:rPr>
              <w:t>8</w:t>
            </w:r>
          </w:p>
        </w:tc>
        <w:tc>
          <w:tcPr>
            <w:tcW w:w="3178"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供应商必须提供《公平竞争承诺书》原件</w:t>
            </w:r>
          </w:p>
        </w:tc>
        <w:tc>
          <w:tcPr>
            <w:tcW w:w="4238"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供应商必须提供《公平竞争承诺书》原件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90" w:type="dxa"/>
            <w:tcBorders>
              <w:top w:val="single" w:color="auto" w:sz="2" w:space="0"/>
              <w:left w:val="single" w:color="auto" w:sz="2" w:space="0"/>
              <w:bottom w:val="single" w:color="auto" w:sz="2" w:space="0"/>
              <w:right w:val="single" w:color="auto" w:sz="2" w:space="0"/>
            </w:tcBorders>
          </w:tcPr>
          <w:p>
            <w:pPr>
              <w:rPr>
                <w:color w:val="auto"/>
              </w:rPr>
            </w:pPr>
            <w:r>
              <w:rPr>
                <w:color w:val="auto"/>
              </w:rPr>
              <w:t>9</w:t>
            </w:r>
          </w:p>
        </w:tc>
        <w:tc>
          <w:tcPr>
            <w:tcW w:w="3178"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本项目不接受联合体投标；</w:t>
            </w:r>
            <w:r>
              <w:rPr>
                <w:color w:val="auto"/>
              </w:rPr>
              <w:t>(</w:t>
            </w:r>
            <w:r>
              <w:rPr>
                <w:rFonts w:hint="eastAsia"/>
                <w:color w:val="auto"/>
              </w:rPr>
              <w:t>提供声明函）</w:t>
            </w:r>
          </w:p>
        </w:tc>
        <w:tc>
          <w:tcPr>
            <w:tcW w:w="4238"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本项目不接受联合体投标；</w:t>
            </w:r>
            <w:r>
              <w:rPr>
                <w:color w:val="auto"/>
              </w:rPr>
              <w:t>(</w:t>
            </w:r>
            <w:r>
              <w:rPr>
                <w:rFonts w:hint="eastAsia"/>
                <w:color w:val="auto"/>
              </w:rPr>
              <w:t>提供声明函）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90" w:type="dxa"/>
            <w:tcBorders>
              <w:top w:val="single" w:color="auto" w:sz="2" w:space="0"/>
              <w:left w:val="single" w:color="auto" w:sz="2" w:space="0"/>
              <w:bottom w:val="single" w:color="auto" w:sz="2" w:space="0"/>
              <w:right w:val="single" w:color="auto" w:sz="2" w:space="0"/>
            </w:tcBorders>
          </w:tcPr>
          <w:p>
            <w:pPr>
              <w:rPr>
                <w:color w:val="auto"/>
              </w:rPr>
            </w:pPr>
          </w:p>
        </w:tc>
        <w:tc>
          <w:tcPr>
            <w:tcW w:w="3178" w:type="dxa"/>
            <w:tcBorders>
              <w:top w:val="single" w:color="auto" w:sz="2" w:space="0"/>
              <w:left w:val="single" w:color="auto" w:sz="2" w:space="0"/>
              <w:bottom w:val="single" w:color="auto" w:sz="2" w:space="0"/>
              <w:right w:val="single" w:color="auto" w:sz="2" w:space="0"/>
            </w:tcBorders>
          </w:tcPr>
          <w:p>
            <w:pPr>
              <w:rPr>
                <w:color w:val="auto"/>
              </w:rPr>
            </w:pPr>
          </w:p>
        </w:tc>
        <w:tc>
          <w:tcPr>
            <w:tcW w:w="4238" w:type="dxa"/>
            <w:tcBorders>
              <w:top w:val="single" w:color="auto" w:sz="2" w:space="0"/>
              <w:left w:val="single" w:color="auto" w:sz="2" w:space="0"/>
              <w:bottom w:val="single" w:color="auto" w:sz="2" w:space="0"/>
              <w:right w:val="single" w:color="auto" w:sz="2" w:space="0"/>
            </w:tcBorders>
          </w:tcPr>
          <w:p>
            <w:pPr>
              <w:rPr>
                <w:color w:val="auto"/>
              </w:rPr>
            </w:pPr>
          </w:p>
        </w:tc>
      </w:tr>
    </w:tbl>
    <w:p>
      <w:pPr>
        <w:rPr>
          <w:color w:val="auto"/>
        </w:rPr>
      </w:pPr>
    </w:p>
    <w:p>
      <w:pPr>
        <w:rPr>
          <w:color w:val="auto"/>
        </w:rPr>
      </w:pPr>
      <w:r>
        <w:rPr>
          <w:color w:val="auto"/>
        </w:rPr>
        <w:t>2.</w:t>
      </w:r>
      <w:r>
        <w:rPr>
          <w:rFonts w:hint="eastAsia"/>
          <w:color w:val="auto"/>
        </w:rPr>
        <w:t>响应文件澄清</w:t>
      </w:r>
    </w:p>
    <w:p>
      <w:pPr>
        <w:rPr>
          <w:color w:val="auto"/>
        </w:rPr>
      </w:pPr>
      <w:r>
        <w:rPr>
          <w:color w:val="auto"/>
        </w:rPr>
        <w:t>2.1</w:t>
      </w:r>
      <w:r>
        <w:rPr>
          <w:rFonts w:hint="eastAsia"/>
          <w:color w:val="auto"/>
        </w:rPr>
        <w:t>对于响应文件中含义不明确、同类问题表述不一致或者有明显文字和计算错误的内容，采购小组可在评比过程中发起现场问询，要求供应商针对价格或内容做出必要的澄清、说明或补正。</w:t>
      </w:r>
    </w:p>
    <w:p>
      <w:pPr>
        <w:rPr>
          <w:color w:val="auto"/>
        </w:rPr>
      </w:pPr>
      <w:r>
        <w:rPr>
          <w:color w:val="auto"/>
        </w:rPr>
        <w:t>2.2</w:t>
      </w:r>
      <w:r>
        <w:rPr>
          <w:rFonts w:hint="eastAsia"/>
          <w:color w:val="auto"/>
        </w:rPr>
        <w:t>采购小组对供应商提交的澄清、说明或补正有疑问的，可以要求供应商进一步澄清、说明或补正。</w:t>
      </w:r>
    </w:p>
    <w:p>
      <w:pPr>
        <w:rPr>
          <w:color w:val="auto"/>
        </w:rPr>
      </w:pPr>
      <w:r>
        <w:rPr>
          <w:color w:val="auto"/>
        </w:rPr>
        <w:t>3.</w:t>
      </w:r>
      <w:r>
        <w:rPr>
          <w:rFonts w:hint="eastAsia"/>
          <w:color w:val="auto"/>
        </w:rPr>
        <w:t>评比</w:t>
      </w:r>
    </w:p>
    <w:p>
      <w:pPr>
        <w:rPr>
          <w:color w:val="auto"/>
        </w:rPr>
      </w:pPr>
      <w:r>
        <w:rPr>
          <w:color w:val="auto"/>
        </w:rPr>
        <w:t>3.1</w:t>
      </w:r>
      <w:r>
        <w:rPr>
          <w:rFonts w:hint="eastAsia"/>
          <w:color w:val="auto"/>
        </w:rPr>
        <w:t>采购小组所有成员应当集中与单一供应商分别进行磋商，并给予所有参加评比的供应商平等的磋商机会。</w:t>
      </w:r>
    </w:p>
    <w:p>
      <w:pPr>
        <w:rPr>
          <w:color w:val="auto"/>
        </w:rPr>
      </w:pPr>
      <w:r>
        <w:rPr>
          <w:color w:val="auto"/>
        </w:rPr>
        <w:t>3.2</w:t>
      </w:r>
      <w:r>
        <w:rPr>
          <w:rFonts w:hint="eastAsia"/>
          <w:color w:val="auto"/>
        </w:rPr>
        <w:t>供应商应当按照评比实际情况和采购小组的要求进行最终报价并由其法定代表人或授权代表签字或者加盖公章。由授权代表签字的，应当附法定代表人授权书。供应商为自然人的，应当由本人签字并附身份证明。</w:t>
      </w:r>
    </w:p>
    <w:p>
      <w:pPr>
        <w:rPr>
          <w:color w:val="auto"/>
        </w:rPr>
      </w:pPr>
      <w:r>
        <w:rPr>
          <w:color w:val="auto"/>
        </w:rPr>
        <w:t>4.</w:t>
      </w:r>
      <w:r>
        <w:rPr>
          <w:rFonts w:hint="eastAsia"/>
          <w:color w:val="auto"/>
        </w:rPr>
        <w:t>最后报价</w:t>
      </w:r>
    </w:p>
    <w:p>
      <w:pPr>
        <w:rPr>
          <w:color w:val="auto"/>
        </w:rPr>
      </w:pPr>
      <w:r>
        <w:rPr>
          <w:color w:val="auto"/>
        </w:rPr>
        <w:t>4.1</w:t>
      </w:r>
      <w:r>
        <w:rPr>
          <w:rFonts w:hint="eastAsia"/>
          <w:color w:val="auto"/>
        </w:rPr>
        <w:t>评比结束后，采购小组应当要求所有实质性响应的供应商在规定时间内提交最后报价。最后报价是供应商响应文件的有效组成部分。</w:t>
      </w:r>
    </w:p>
    <w:p>
      <w:pPr>
        <w:rPr>
          <w:color w:val="auto"/>
        </w:rPr>
      </w:pPr>
      <w:r>
        <w:rPr>
          <w:color w:val="auto"/>
        </w:rPr>
        <w:t>4.2</w:t>
      </w:r>
      <w:r>
        <w:rPr>
          <w:rFonts w:hint="eastAsia"/>
          <w:color w:val="auto"/>
        </w:rPr>
        <w:t>已提交响应文件的供应商，在提交最后报价之前，可以根据磋商情况退出磋商。</w:t>
      </w:r>
    </w:p>
    <w:p>
      <w:pPr>
        <w:rPr>
          <w:color w:val="auto"/>
        </w:rPr>
      </w:pPr>
      <w:r>
        <w:rPr>
          <w:color w:val="auto"/>
        </w:rPr>
        <w:t>4.3</w:t>
      </w:r>
      <w:r>
        <w:rPr>
          <w:rFonts w:hint="eastAsia"/>
          <w:color w:val="auto"/>
        </w:rPr>
        <w:t>除法规规定的特殊性情形外，提交最后报价的供应商不得少于</w:t>
      </w:r>
      <w:r>
        <w:rPr>
          <w:color w:val="auto"/>
        </w:rPr>
        <w:t>3</w:t>
      </w:r>
      <w:r>
        <w:rPr>
          <w:rFonts w:hint="eastAsia"/>
          <w:color w:val="auto"/>
        </w:rPr>
        <w:t>家。</w:t>
      </w:r>
    </w:p>
    <w:p>
      <w:pPr>
        <w:rPr>
          <w:color w:val="auto"/>
        </w:rPr>
      </w:pPr>
      <w:r>
        <w:rPr>
          <w:color w:val="auto"/>
        </w:rPr>
        <w:t>5.</w:t>
      </w:r>
      <w:r>
        <w:rPr>
          <w:rFonts w:hint="eastAsia"/>
          <w:color w:val="auto"/>
        </w:rPr>
        <w:t>详细评审</w:t>
      </w:r>
    </w:p>
    <w:p>
      <w:pPr>
        <w:rPr>
          <w:color w:val="auto"/>
        </w:rPr>
      </w:pPr>
    </w:p>
    <w:p>
      <w:pPr>
        <w:rPr>
          <w:color w:val="auto"/>
        </w:rPr>
      </w:pPr>
    </w:p>
    <w:p>
      <w:pPr>
        <w:rPr>
          <w:color w:val="auto"/>
        </w:rPr>
      </w:pPr>
    </w:p>
    <w:tbl>
      <w:tblPr>
        <w:tblStyle w:val="2"/>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838"/>
        <w:gridCol w:w="3325"/>
        <w:gridCol w:w="435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38"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评审因素</w:t>
            </w:r>
          </w:p>
        </w:tc>
        <w:tc>
          <w:tcPr>
            <w:tcW w:w="7684" w:type="dxa"/>
            <w:gridSpan w:val="2"/>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评审标准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38"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分值构成</w:t>
            </w:r>
          </w:p>
        </w:tc>
        <w:tc>
          <w:tcPr>
            <w:tcW w:w="7684" w:type="dxa"/>
            <w:gridSpan w:val="2"/>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商务部分</w:t>
            </w:r>
            <w:r>
              <w:rPr>
                <w:color w:val="auto"/>
              </w:rPr>
              <w:t>20.0</w:t>
            </w:r>
            <w:r>
              <w:rPr>
                <w:rFonts w:hint="eastAsia"/>
                <w:color w:val="auto"/>
              </w:rPr>
              <w:t>分</w:t>
            </w:r>
          </w:p>
          <w:p>
            <w:pPr>
              <w:rPr>
                <w:color w:val="auto"/>
              </w:rPr>
            </w:pPr>
            <w:r>
              <w:rPr>
                <w:rFonts w:hint="eastAsia"/>
                <w:color w:val="auto"/>
              </w:rPr>
              <w:t>技术部分</w:t>
            </w:r>
            <w:r>
              <w:rPr>
                <w:color w:val="auto"/>
              </w:rPr>
              <w:t>50.0</w:t>
            </w:r>
            <w:r>
              <w:rPr>
                <w:rFonts w:hint="eastAsia"/>
                <w:color w:val="auto"/>
              </w:rPr>
              <w:t>分</w:t>
            </w:r>
          </w:p>
          <w:p>
            <w:pPr>
              <w:rPr>
                <w:color w:val="auto"/>
              </w:rPr>
            </w:pPr>
            <w:r>
              <w:rPr>
                <w:rFonts w:hint="eastAsia"/>
                <w:color w:val="auto"/>
              </w:rPr>
              <w:t>报价得分</w:t>
            </w:r>
            <w:r>
              <w:rPr>
                <w:color w:val="auto"/>
              </w:rPr>
              <w:t>30.0</w:t>
            </w:r>
            <w:r>
              <w:rPr>
                <w:rFonts w:hint="eastAsia"/>
                <w:color w:val="auto"/>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38" w:type="dxa"/>
            <w:vMerge w:val="restart"/>
            <w:tcBorders>
              <w:top w:val="single" w:color="auto" w:sz="2" w:space="0"/>
              <w:left w:val="single" w:color="auto" w:sz="2" w:space="0"/>
              <w:right w:val="single" w:color="auto" w:sz="2" w:space="0"/>
            </w:tcBorders>
          </w:tcPr>
          <w:p>
            <w:pPr>
              <w:rPr>
                <w:color w:val="auto"/>
              </w:rPr>
            </w:pPr>
            <w:r>
              <w:rPr>
                <w:rFonts w:hint="eastAsia"/>
                <w:color w:val="auto"/>
              </w:rPr>
              <w:t>技术部分</w:t>
            </w:r>
          </w:p>
        </w:tc>
        <w:tc>
          <w:tcPr>
            <w:tcW w:w="3325"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用户需求响应情况</w:t>
            </w:r>
            <w:r>
              <w:rPr>
                <w:color w:val="auto"/>
              </w:rPr>
              <w:t xml:space="preserve"> (5.0</w:t>
            </w:r>
            <w:r>
              <w:rPr>
                <w:rFonts w:hint="eastAsia"/>
                <w:color w:val="auto"/>
              </w:rPr>
              <w:t>分</w:t>
            </w:r>
            <w:r>
              <w:rPr>
                <w:color w:val="auto"/>
              </w:rPr>
              <w:t>) (5.0</w:t>
            </w:r>
            <w:r>
              <w:rPr>
                <w:rFonts w:hint="eastAsia"/>
                <w:color w:val="auto"/>
              </w:rPr>
              <w:t>分</w:t>
            </w:r>
            <w:r>
              <w:rPr>
                <w:color w:val="auto"/>
              </w:rPr>
              <w:t>)</w:t>
            </w:r>
            <w:r>
              <w:rPr>
                <w:rFonts w:hint="eastAsia"/>
                <w:color w:val="auto"/>
              </w:rPr>
              <w:t>，（等次分值选择：</w:t>
            </w:r>
            <w:r>
              <w:rPr>
                <w:color w:val="auto"/>
              </w:rPr>
              <w:t>0.0;1.0;2.0;3.0;4.0;5.0;</w:t>
            </w:r>
            <w:r>
              <w:rPr>
                <w:rFonts w:hint="eastAsia"/>
                <w:color w:val="auto"/>
              </w:rPr>
              <w:t>）</w:t>
            </w:r>
          </w:p>
        </w:tc>
        <w:tc>
          <w:tcPr>
            <w:tcW w:w="4359"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根据供应商对采购需求的响应程度进行评审：完全满足并优于采购需求的，得满分</w:t>
            </w:r>
            <w:r>
              <w:rPr>
                <w:color w:val="auto"/>
              </w:rPr>
              <w:t>5</w:t>
            </w:r>
            <w:r>
              <w:rPr>
                <w:rFonts w:hint="eastAsia"/>
                <w:color w:val="auto"/>
              </w:rPr>
              <w:t>分；每有</w:t>
            </w:r>
            <w:r>
              <w:rPr>
                <w:color w:val="auto"/>
              </w:rPr>
              <w:t>1</w:t>
            </w:r>
            <w:r>
              <w:rPr>
                <w:rFonts w:hint="eastAsia"/>
                <w:color w:val="auto"/>
              </w:rPr>
              <w:t>项一般条款负偏离扣</w:t>
            </w:r>
            <w:r>
              <w:rPr>
                <w:color w:val="auto"/>
              </w:rPr>
              <w:t>1</w:t>
            </w:r>
            <w:r>
              <w:rPr>
                <w:rFonts w:hint="eastAsia"/>
                <w:color w:val="auto"/>
              </w:rPr>
              <w:t>分，一般条款负偏离达</w:t>
            </w:r>
            <w:r>
              <w:rPr>
                <w:color w:val="auto"/>
              </w:rPr>
              <w:t>5</w:t>
            </w:r>
            <w:r>
              <w:rPr>
                <w:rFonts w:hint="eastAsia"/>
                <w:color w:val="auto"/>
              </w:rPr>
              <w:t>项（含</w:t>
            </w:r>
            <w:r>
              <w:rPr>
                <w:color w:val="auto"/>
              </w:rPr>
              <w:t>5</w:t>
            </w:r>
            <w:r>
              <w:rPr>
                <w:rFonts w:hint="eastAsia"/>
                <w:color w:val="auto"/>
              </w:rPr>
              <w:t>项）以上，则本项不得分。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38" w:type="dxa"/>
            <w:vMerge w:val="continue"/>
            <w:tcBorders>
              <w:left w:val="single" w:color="auto" w:sz="2" w:space="0"/>
              <w:right w:val="single" w:color="auto" w:sz="2" w:space="0"/>
            </w:tcBorders>
            <w:vAlign w:val="center"/>
          </w:tcPr>
          <w:p>
            <w:pPr>
              <w:widowControl/>
              <w:jc w:val="left"/>
              <w:rPr>
                <w:color w:val="auto"/>
              </w:rPr>
            </w:pPr>
          </w:p>
        </w:tc>
        <w:tc>
          <w:tcPr>
            <w:tcW w:w="3325"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产品样品情况</w:t>
            </w:r>
            <w:r>
              <w:rPr>
                <w:color w:val="auto"/>
              </w:rPr>
              <w:t xml:space="preserve"> (15.0</w:t>
            </w:r>
            <w:r>
              <w:rPr>
                <w:rFonts w:hint="eastAsia"/>
                <w:color w:val="auto"/>
              </w:rPr>
              <w:t>分</w:t>
            </w:r>
            <w:r>
              <w:rPr>
                <w:color w:val="auto"/>
              </w:rPr>
              <w:t>) (15.0</w:t>
            </w:r>
            <w:r>
              <w:rPr>
                <w:rFonts w:hint="eastAsia"/>
                <w:color w:val="auto"/>
              </w:rPr>
              <w:t>分</w:t>
            </w:r>
            <w:r>
              <w:rPr>
                <w:color w:val="auto"/>
              </w:rPr>
              <w:t>)</w:t>
            </w:r>
            <w:r>
              <w:rPr>
                <w:rFonts w:hint="eastAsia"/>
                <w:color w:val="auto"/>
              </w:rPr>
              <w:t>，（等次分值选择：</w:t>
            </w:r>
            <w:r>
              <w:rPr>
                <w:color w:val="auto"/>
              </w:rPr>
              <w:t>0.0;3.0;9.0;15.0;</w:t>
            </w:r>
            <w:r>
              <w:rPr>
                <w:rFonts w:hint="eastAsia"/>
                <w:color w:val="auto"/>
              </w:rPr>
              <w:t>）</w:t>
            </w:r>
          </w:p>
        </w:tc>
        <w:tc>
          <w:tcPr>
            <w:tcW w:w="4359"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根据供应商提供的产品样品，对产品品质、包装、外观、质量进行评审：（</w:t>
            </w:r>
            <w:r>
              <w:rPr>
                <w:color w:val="auto"/>
              </w:rPr>
              <w:t>1</w:t>
            </w:r>
            <w:r>
              <w:rPr>
                <w:rFonts w:hint="eastAsia"/>
                <w:color w:val="auto"/>
              </w:rPr>
              <w:t>）产品品质上等、包装得体、大方﹑喜庆，产品质量全部优良的得</w:t>
            </w:r>
            <w:r>
              <w:rPr>
                <w:color w:val="auto"/>
              </w:rPr>
              <w:t>15</w:t>
            </w:r>
            <w:r>
              <w:rPr>
                <w:rFonts w:hint="eastAsia"/>
                <w:color w:val="auto"/>
              </w:rPr>
              <w:t>分；（</w:t>
            </w:r>
            <w:r>
              <w:rPr>
                <w:color w:val="auto"/>
              </w:rPr>
              <w:t>2</w:t>
            </w:r>
            <w:r>
              <w:rPr>
                <w:rFonts w:hint="eastAsia"/>
                <w:color w:val="auto"/>
              </w:rPr>
              <w:t>）产品品质上乘、包装完整，产品质量满足或部分优良的得</w:t>
            </w:r>
            <w:r>
              <w:rPr>
                <w:color w:val="auto"/>
              </w:rPr>
              <w:t>9</w:t>
            </w:r>
            <w:r>
              <w:rPr>
                <w:rFonts w:hint="eastAsia"/>
                <w:color w:val="auto"/>
              </w:rPr>
              <w:t>分；（</w:t>
            </w:r>
            <w:r>
              <w:rPr>
                <w:color w:val="auto"/>
              </w:rPr>
              <w:t>3</w:t>
            </w:r>
            <w:r>
              <w:rPr>
                <w:rFonts w:hint="eastAsia"/>
                <w:color w:val="auto"/>
              </w:rPr>
              <w:t>）产品品质一般、包装简单，产品质量满足质量要求的得</w:t>
            </w:r>
            <w:r>
              <w:rPr>
                <w:color w:val="auto"/>
              </w:rPr>
              <w:t>3</w:t>
            </w:r>
            <w:r>
              <w:rPr>
                <w:rFonts w:hint="eastAsia"/>
                <w:color w:val="auto"/>
              </w:rPr>
              <w:t>分；（</w:t>
            </w:r>
            <w:r>
              <w:rPr>
                <w:color w:val="auto"/>
              </w:rPr>
              <w:t>4</w:t>
            </w:r>
            <w:r>
              <w:rPr>
                <w:rFonts w:hint="eastAsia"/>
                <w:color w:val="auto"/>
              </w:rPr>
              <w:t>）其余情况不得分。注：未提交或少提交投标样品的本项不得分。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38" w:type="dxa"/>
            <w:vMerge w:val="continue"/>
            <w:tcBorders>
              <w:left w:val="single" w:color="auto" w:sz="2" w:space="0"/>
              <w:right w:val="single" w:color="auto" w:sz="2" w:space="0"/>
            </w:tcBorders>
            <w:vAlign w:val="center"/>
          </w:tcPr>
          <w:p>
            <w:pPr>
              <w:widowControl/>
              <w:jc w:val="left"/>
              <w:rPr>
                <w:color w:val="auto"/>
              </w:rPr>
            </w:pPr>
          </w:p>
        </w:tc>
        <w:tc>
          <w:tcPr>
            <w:tcW w:w="3325"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产品多样性</w:t>
            </w:r>
            <w:r>
              <w:rPr>
                <w:color w:val="auto"/>
              </w:rPr>
              <w:t xml:space="preserve"> (5.0</w:t>
            </w:r>
            <w:r>
              <w:rPr>
                <w:rFonts w:hint="eastAsia"/>
                <w:color w:val="auto"/>
              </w:rPr>
              <w:t>分</w:t>
            </w:r>
            <w:r>
              <w:rPr>
                <w:color w:val="auto"/>
              </w:rPr>
              <w:t>) (5.0</w:t>
            </w:r>
            <w:r>
              <w:rPr>
                <w:rFonts w:hint="eastAsia"/>
                <w:color w:val="auto"/>
              </w:rPr>
              <w:t>分</w:t>
            </w:r>
            <w:r>
              <w:rPr>
                <w:color w:val="auto"/>
              </w:rPr>
              <w:t>)</w:t>
            </w:r>
            <w:r>
              <w:rPr>
                <w:rFonts w:hint="eastAsia"/>
                <w:color w:val="auto"/>
              </w:rPr>
              <w:t>，（等次分值选择：</w:t>
            </w:r>
            <w:r>
              <w:rPr>
                <w:color w:val="auto"/>
              </w:rPr>
              <w:t>0.0;1.0;3.0;5.0;</w:t>
            </w:r>
            <w:r>
              <w:rPr>
                <w:rFonts w:hint="eastAsia"/>
                <w:color w:val="auto"/>
              </w:rPr>
              <w:t>）</w:t>
            </w:r>
          </w:p>
        </w:tc>
        <w:tc>
          <w:tcPr>
            <w:tcW w:w="4359"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综合对比各供应商提供的产品目录种类。（</w:t>
            </w:r>
            <w:r>
              <w:rPr>
                <w:color w:val="auto"/>
              </w:rPr>
              <w:t>1</w:t>
            </w:r>
            <w:r>
              <w:rPr>
                <w:rFonts w:hint="eastAsia"/>
                <w:color w:val="auto"/>
              </w:rPr>
              <w:t>）产品目录种类多：</w:t>
            </w:r>
            <w:r>
              <w:rPr>
                <w:color w:val="auto"/>
              </w:rPr>
              <w:t>5</w:t>
            </w:r>
            <w:r>
              <w:rPr>
                <w:rFonts w:hint="eastAsia"/>
                <w:color w:val="auto"/>
              </w:rPr>
              <w:t>分；（</w:t>
            </w:r>
            <w:r>
              <w:rPr>
                <w:color w:val="auto"/>
              </w:rPr>
              <w:t>2</w:t>
            </w:r>
            <w:r>
              <w:rPr>
                <w:rFonts w:hint="eastAsia"/>
                <w:color w:val="auto"/>
              </w:rPr>
              <w:t>）产品目录种类较多：</w:t>
            </w:r>
            <w:r>
              <w:rPr>
                <w:color w:val="auto"/>
              </w:rPr>
              <w:t>3</w:t>
            </w:r>
            <w:r>
              <w:rPr>
                <w:rFonts w:hint="eastAsia"/>
                <w:color w:val="auto"/>
              </w:rPr>
              <w:t>分；（</w:t>
            </w:r>
            <w:r>
              <w:rPr>
                <w:color w:val="auto"/>
              </w:rPr>
              <w:t>3</w:t>
            </w:r>
            <w:r>
              <w:rPr>
                <w:rFonts w:hint="eastAsia"/>
                <w:color w:val="auto"/>
              </w:rPr>
              <w:t>）产品目录种类一般：</w:t>
            </w:r>
            <w:r>
              <w:rPr>
                <w:color w:val="auto"/>
              </w:rPr>
              <w:t>1</w:t>
            </w:r>
            <w:r>
              <w:rPr>
                <w:rFonts w:hint="eastAsia"/>
                <w:color w:val="auto"/>
              </w:rPr>
              <w:t>分。（</w:t>
            </w:r>
            <w:r>
              <w:rPr>
                <w:color w:val="auto"/>
              </w:rPr>
              <w:t>4</w:t>
            </w:r>
            <w:r>
              <w:rPr>
                <w:rFonts w:hint="eastAsia"/>
                <w:color w:val="auto"/>
              </w:rPr>
              <w:t>）其余情况或没有提供不得分。注：须提供产品列表及平台清单截图。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38" w:type="dxa"/>
            <w:vMerge w:val="continue"/>
            <w:tcBorders>
              <w:left w:val="single" w:color="auto" w:sz="2" w:space="0"/>
              <w:right w:val="single" w:color="auto" w:sz="2" w:space="0"/>
            </w:tcBorders>
            <w:vAlign w:val="center"/>
          </w:tcPr>
          <w:p>
            <w:pPr>
              <w:widowControl/>
              <w:jc w:val="left"/>
              <w:rPr>
                <w:color w:val="auto"/>
              </w:rPr>
            </w:pPr>
          </w:p>
        </w:tc>
        <w:tc>
          <w:tcPr>
            <w:tcW w:w="3325" w:type="dxa"/>
            <w:tcBorders>
              <w:top w:val="single" w:color="auto" w:sz="2" w:space="0"/>
              <w:left w:val="single" w:color="auto" w:sz="2" w:space="0"/>
              <w:bottom w:val="single" w:color="auto" w:sz="2" w:space="0"/>
              <w:right w:val="single" w:color="auto" w:sz="2" w:space="0"/>
            </w:tcBorders>
          </w:tcPr>
          <w:p>
            <w:pPr>
              <w:rPr>
                <w:rFonts w:hint="default" w:eastAsiaTheme="minorEastAsia"/>
                <w:color w:val="auto"/>
                <w:lang w:val="en-US" w:eastAsia="zh-CN"/>
              </w:rPr>
            </w:pPr>
            <w:r>
              <w:rPr>
                <w:rFonts w:hint="eastAsia"/>
                <w:color w:val="auto"/>
                <w:lang w:val="en-US" w:eastAsia="zh-CN"/>
              </w:rPr>
              <w:t>套餐多样性及特定要求（10分）</w:t>
            </w:r>
          </w:p>
        </w:tc>
        <w:tc>
          <w:tcPr>
            <w:tcW w:w="4359" w:type="dxa"/>
            <w:tcBorders>
              <w:top w:val="single" w:color="auto" w:sz="2" w:space="0"/>
              <w:left w:val="single" w:color="auto" w:sz="2" w:space="0"/>
              <w:bottom w:val="single" w:color="auto" w:sz="2" w:space="0"/>
              <w:right w:val="single" w:color="auto" w:sz="2" w:space="0"/>
            </w:tcBorders>
          </w:tcPr>
          <w:p>
            <w:pPr>
              <w:rPr>
                <w:rFonts w:hint="default" w:eastAsiaTheme="minorEastAsia"/>
                <w:color w:val="auto"/>
                <w:lang w:eastAsia="zh-CN"/>
              </w:rPr>
            </w:pPr>
            <w:r>
              <w:rPr>
                <w:rFonts w:hint="default"/>
                <w:color w:val="auto"/>
                <w:lang w:eastAsia="zh-CN"/>
              </w:rPr>
              <w:t>（1）</w:t>
            </w:r>
            <w:r>
              <w:rPr>
                <w:rFonts w:hint="eastAsia"/>
                <w:color w:val="auto"/>
                <w:lang w:val="en-US" w:eastAsia="zh-CN"/>
              </w:rPr>
              <w:t>不少于</w:t>
            </w:r>
            <w:r>
              <w:rPr>
                <w:rFonts w:hint="eastAsia"/>
                <w:color w:val="auto"/>
              </w:rPr>
              <w:t>3种不同套餐</w:t>
            </w:r>
            <w:r>
              <w:rPr>
                <w:rFonts w:hint="eastAsia"/>
                <w:color w:val="auto"/>
                <w:lang w:eastAsia="zh-CN"/>
              </w:rPr>
              <w:t>，</w:t>
            </w:r>
            <w:r>
              <w:rPr>
                <w:rFonts w:hint="eastAsia"/>
                <w:color w:val="auto"/>
                <w:lang w:val="en-US" w:eastAsia="zh-CN"/>
              </w:rPr>
              <w:t>满足</w:t>
            </w:r>
            <w:r>
              <w:rPr>
                <w:rFonts w:hint="default"/>
                <w:color w:val="auto"/>
              </w:rPr>
              <w:t>得</w:t>
            </w:r>
            <w:r>
              <w:rPr>
                <w:rFonts w:hint="eastAsia"/>
                <w:color w:val="auto"/>
                <w:lang w:val="en-US" w:eastAsia="zh-CN"/>
              </w:rPr>
              <w:t>5</w:t>
            </w:r>
            <w:r>
              <w:rPr>
                <w:rFonts w:hint="default"/>
                <w:color w:val="auto"/>
              </w:rPr>
              <w:t>分</w:t>
            </w:r>
            <w:r>
              <w:rPr>
                <w:rFonts w:hint="eastAsia"/>
                <w:color w:val="auto"/>
                <w:lang w:eastAsia="zh-CN"/>
              </w:rPr>
              <w:t>，</w:t>
            </w:r>
            <w:r>
              <w:rPr>
                <w:rFonts w:hint="eastAsia"/>
                <w:color w:val="auto"/>
                <w:lang w:val="en-US" w:eastAsia="zh-CN"/>
              </w:rPr>
              <w:t>不满足得0分</w:t>
            </w:r>
            <w:r>
              <w:rPr>
                <w:rFonts w:hint="default"/>
                <w:color w:val="auto"/>
              </w:rPr>
              <w:t>；（2）</w:t>
            </w:r>
            <w:r>
              <w:rPr>
                <w:rFonts w:hint="eastAsia"/>
                <w:color w:val="auto"/>
                <w:lang w:val="en-US" w:eastAsia="zh-CN"/>
              </w:rPr>
              <w:t>其中至少有一个套餐包含20斤以上大米及20斤以上食用油，满足得5分，不满足得0分</w:t>
            </w:r>
            <w:r>
              <w:rPr>
                <w:rFonts w:hint="default"/>
                <w:color w:val="auto"/>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38" w:type="dxa"/>
            <w:vMerge w:val="continue"/>
            <w:tcBorders>
              <w:left w:val="single" w:color="auto" w:sz="2" w:space="0"/>
              <w:right w:val="single" w:color="auto" w:sz="2" w:space="0"/>
            </w:tcBorders>
            <w:vAlign w:val="center"/>
          </w:tcPr>
          <w:p>
            <w:pPr>
              <w:widowControl/>
              <w:jc w:val="left"/>
              <w:rPr>
                <w:color w:val="auto"/>
              </w:rPr>
            </w:pPr>
          </w:p>
        </w:tc>
        <w:tc>
          <w:tcPr>
            <w:tcW w:w="3325" w:type="dxa"/>
            <w:tcBorders>
              <w:top w:val="single" w:color="auto" w:sz="2" w:space="0"/>
              <w:left w:val="single" w:color="auto" w:sz="2" w:space="0"/>
              <w:bottom w:val="single" w:color="auto" w:sz="2" w:space="0"/>
              <w:right w:val="single" w:color="auto" w:sz="2" w:space="0"/>
            </w:tcBorders>
            <w:vAlign w:val="top"/>
          </w:tcPr>
          <w:p>
            <w:pPr>
              <w:rPr>
                <w:rFonts w:hint="eastAsia" w:asciiTheme="minorHAnsi" w:hAnsiTheme="minorHAnsi" w:eastAsiaTheme="minorEastAsia" w:cstheme="minorBidi"/>
                <w:color w:val="auto"/>
                <w:kern w:val="2"/>
                <w:sz w:val="21"/>
                <w:szCs w:val="22"/>
                <w:lang w:val="en-US" w:eastAsia="zh-CN" w:bidi="ar-SA"/>
              </w:rPr>
            </w:pPr>
            <w:r>
              <w:rPr>
                <w:rFonts w:hint="eastAsia"/>
                <w:color w:val="auto"/>
              </w:rPr>
              <w:t>配送方案</w:t>
            </w:r>
            <w:r>
              <w:rPr>
                <w:color w:val="auto"/>
              </w:rPr>
              <w:t>(5.0</w:t>
            </w:r>
            <w:r>
              <w:rPr>
                <w:rFonts w:hint="eastAsia"/>
                <w:color w:val="auto"/>
              </w:rPr>
              <w:t>分</w:t>
            </w:r>
            <w:r>
              <w:rPr>
                <w:color w:val="auto"/>
              </w:rPr>
              <w:t>) (5.0</w:t>
            </w:r>
            <w:r>
              <w:rPr>
                <w:rFonts w:hint="eastAsia"/>
                <w:color w:val="auto"/>
              </w:rPr>
              <w:t>分</w:t>
            </w:r>
            <w:r>
              <w:rPr>
                <w:color w:val="auto"/>
              </w:rPr>
              <w:t>)</w:t>
            </w:r>
            <w:r>
              <w:rPr>
                <w:rFonts w:hint="eastAsia"/>
                <w:color w:val="auto"/>
              </w:rPr>
              <w:t>，（等次分值选择：</w:t>
            </w:r>
            <w:r>
              <w:rPr>
                <w:color w:val="auto"/>
              </w:rPr>
              <w:t>0.0;2.0;5.0;</w:t>
            </w:r>
            <w:r>
              <w:rPr>
                <w:rFonts w:hint="eastAsia"/>
                <w:color w:val="auto"/>
              </w:rPr>
              <w:t>）</w:t>
            </w:r>
          </w:p>
        </w:tc>
        <w:tc>
          <w:tcPr>
            <w:tcW w:w="4359" w:type="dxa"/>
            <w:tcBorders>
              <w:top w:val="single" w:color="auto" w:sz="2" w:space="0"/>
              <w:left w:val="single" w:color="auto" w:sz="2" w:space="0"/>
              <w:bottom w:val="single" w:color="auto" w:sz="2" w:space="0"/>
              <w:right w:val="single" w:color="auto" w:sz="2" w:space="0"/>
            </w:tcBorders>
            <w:vAlign w:val="top"/>
          </w:tcPr>
          <w:p>
            <w:pPr>
              <w:rPr>
                <w:rFonts w:hint="default" w:asciiTheme="minorHAnsi" w:hAnsiTheme="minorHAnsi" w:eastAsiaTheme="minorEastAsia" w:cstheme="minorBidi"/>
                <w:color w:val="auto"/>
                <w:kern w:val="2"/>
                <w:sz w:val="21"/>
                <w:szCs w:val="22"/>
                <w:lang w:eastAsia="zh-CN" w:bidi="ar-SA"/>
              </w:rPr>
            </w:pPr>
            <w:r>
              <w:rPr>
                <w:rFonts w:hint="eastAsia"/>
                <w:color w:val="auto"/>
              </w:rPr>
              <w:t>（</w:t>
            </w:r>
            <w:r>
              <w:rPr>
                <w:color w:val="auto"/>
              </w:rPr>
              <w:t>1</w:t>
            </w:r>
            <w:r>
              <w:rPr>
                <w:rFonts w:hint="eastAsia"/>
                <w:color w:val="auto"/>
              </w:rPr>
              <w:t>）供应商采用京东、顺丰配送的得</w:t>
            </w:r>
            <w:r>
              <w:rPr>
                <w:color w:val="auto"/>
              </w:rPr>
              <w:t>5</w:t>
            </w:r>
            <w:r>
              <w:rPr>
                <w:rFonts w:hint="eastAsia"/>
                <w:color w:val="auto"/>
              </w:rPr>
              <w:t>分；（</w:t>
            </w:r>
            <w:r>
              <w:rPr>
                <w:color w:val="auto"/>
              </w:rPr>
              <w:t>2</w:t>
            </w:r>
            <w:r>
              <w:rPr>
                <w:rFonts w:hint="eastAsia"/>
                <w:color w:val="auto"/>
              </w:rPr>
              <w:t>）供应商采用其他配送公司得</w:t>
            </w:r>
            <w:r>
              <w:rPr>
                <w:color w:val="auto"/>
              </w:rPr>
              <w:t>2</w:t>
            </w:r>
            <w:r>
              <w:rPr>
                <w:rFonts w:hint="eastAsia"/>
                <w:color w:val="auto"/>
              </w:rPr>
              <w:t>分；（</w:t>
            </w:r>
            <w:r>
              <w:rPr>
                <w:color w:val="auto"/>
              </w:rPr>
              <w:t>3</w:t>
            </w:r>
            <w:r>
              <w:rPr>
                <w:rFonts w:hint="eastAsia"/>
                <w:color w:val="auto"/>
              </w:rPr>
              <w:t>）其他</w:t>
            </w:r>
            <w:r>
              <w:rPr>
                <w:color w:val="auto"/>
              </w:rPr>
              <w:t>0</w:t>
            </w:r>
            <w:r>
              <w:rPr>
                <w:rFonts w:hint="eastAsia"/>
                <w:color w:val="auto"/>
              </w:rPr>
              <w:t>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38" w:type="dxa"/>
            <w:vMerge w:val="continue"/>
            <w:tcBorders>
              <w:left w:val="single" w:color="auto" w:sz="2" w:space="0"/>
              <w:bottom w:val="single" w:color="auto" w:sz="2" w:space="0"/>
              <w:right w:val="single" w:color="auto" w:sz="2" w:space="0"/>
            </w:tcBorders>
            <w:vAlign w:val="center"/>
          </w:tcPr>
          <w:p>
            <w:pPr>
              <w:widowControl/>
              <w:jc w:val="left"/>
              <w:rPr>
                <w:color w:val="auto"/>
              </w:rPr>
            </w:pPr>
          </w:p>
        </w:tc>
        <w:tc>
          <w:tcPr>
            <w:tcW w:w="3325" w:type="dxa"/>
            <w:tcBorders>
              <w:top w:val="single" w:color="auto" w:sz="2" w:space="0"/>
              <w:left w:val="single" w:color="auto" w:sz="2" w:space="0"/>
              <w:bottom w:val="single" w:color="auto" w:sz="2" w:space="0"/>
              <w:right w:val="single" w:color="auto" w:sz="2" w:space="0"/>
            </w:tcBorders>
            <w:vAlign w:val="top"/>
          </w:tcPr>
          <w:p>
            <w:pPr>
              <w:rPr>
                <w:rFonts w:hint="eastAsia" w:asciiTheme="minorHAnsi" w:hAnsiTheme="minorHAnsi" w:eastAsiaTheme="minorEastAsia" w:cstheme="minorBidi"/>
                <w:color w:val="auto"/>
                <w:kern w:val="2"/>
                <w:sz w:val="21"/>
                <w:szCs w:val="22"/>
                <w:lang w:val="en-US" w:eastAsia="zh-CN" w:bidi="ar-SA"/>
              </w:rPr>
            </w:pPr>
            <w:r>
              <w:rPr>
                <w:rFonts w:hint="eastAsia"/>
                <w:color w:val="auto"/>
              </w:rPr>
              <w:t>产品质量保障方案</w:t>
            </w:r>
            <w:r>
              <w:rPr>
                <w:color w:val="auto"/>
              </w:rPr>
              <w:t xml:space="preserve"> (10.0</w:t>
            </w:r>
            <w:r>
              <w:rPr>
                <w:rFonts w:hint="eastAsia"/>
                <w:color w:val="auto"/>
              </w:rPr>
              <w:t>分</w:t>
            </w:r>
            <w:r>
              <w:rPr>
                <w:color w:val="auto"/>
              </w:rPr>
              <w:t>) (10.0</w:t>
            </w:r>
            <w:r>
              <w:rPr>
                <w:rFonts w:hint="eastAsia"/>
                <w:color w:val="auto"/>
              </w:rPr>
              <w:t>分</w:t>
            </w:r>
            <w:r>
              <w:rPr>
                <w:color w:val="auto"/>
              </w:rPr>
              <w:t>)</w:t>
            </w:r>
            <w:r>
              <w:rPr>
                <w:rFonts w:hint="eastAsia"/>
                <w:color w:val="auto"/>
              </w:rPr>
              <w:t>，（等次分值选择：</w:t>
            </w:r>
            <w:r>
              <w:rPr>
                <w:color w:val="auto"/>
              </w:rPr>
              <w:t>0.0;3.0;6.0;10.0;</w:t>
            </w:r>
            <w:r>
              <w:rPr>
                <w:rFonts w:hint="eastAsia"/>
                <w:color w:val="auto"/>
              </w:rPr>
              <w:t>）</w:t>
            </w:r>
          </w:p>
        </w:tc>
        <w:tc>
          <w:tcPr>
            <w:tcW w:w="4359" w:type="dxa"/>
            <w:tcBorders>
              <w:top w:val="single" w:color="auto" w:sz="2" w:space="0"/>
              <w:left w:val="single" w:color="auto" w:sz="2" w:space="0"/>
              <w:bottom w:val="single" w:color="auto" w:sz="2" w:space="0"/>
              <w:right w:val="single" w:color="auto" w:sz="2" w:space="0"/>
            </w:tcBorders>
            <w:vAlign w:val="top"/>
          </w:tcPr>
          <w:p>
            <w:pPr>
              <w:rPr>
                <w:rFonts w:hint="default" w:asciiTheme="minorHAnsi" w:hAnsiTheme="minorHAnsi" w:eastAsiaTheme="minorEastAsia" w:cstheme="minorBidi"/>
                <w:color w:val="auto"/>
                <w:kern w:val="2"/>
                <w:sz w:val="21"/>
                <w:szCs w:val="22"/>
                <w:lang w:eastAsia="zh-CN" w:bidi="ar-SA"/>
              </w:rPr>
            </w:pPr>
            <w:r>
              <w:rPr>
                <w:rFonts w:hint="eastAsia"/>
                <w:color w:val="auto"/>
              </w:rPr>
              <w:t>针对投标人的产品质量保障方案进行评审：方案全面、科学、合理，针对性强的，得</w:t>
            </w:r>
            <w:r>
              <w:rPr>
                <w:color w:val="auto"/>
              </w:rPr>
              <w:t>10</w:t>
            </w:r>
            <w:r>
              <w:rPr>
                <w:rFonts w:hint="eastAsia"/>
                <w:color w:val="auto"/>
              </w:rPr>
              <w:t>分；方案较科学、合理，针对性较强，得</w:t>
            </w:r>
            <w:r>
              <w:rPr>
                <w:color w:val="auto"/>
              </w:rPr>
              <w:t>6</w:t>
            </w:r>
            <w:r>
              <w:rPr>
                <w:rFonts w:hint="eastAsia"/>
                <w:color w:val="auto"/>
              </w:rPr>
              <w:t>分；方案不够全面、科学、合理，针对性一般，得</w:t>
            </w:r>
            <w:r>
              <w:rPr>
                <w:color w:val="auto"/>
              </w:rPr>
              <w:t>3</w:t>
            </w:r>
            <w:r>
              <w:rPr>
                <w:rFonts w:hint="eastAsia"/>
                <w:color w:val="auto"/>
              </w:rPr>
              <w:t>分；不提供不得分。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38" w:type="dxa"/>
            <w:vMerge w:val="restart"/>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商务部分</w:t>
            </w:r>
          </w:p>
        </w:tc>
        <w:tc>
          <w:tcPr>
            <w:tcW w:w="3325"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项目业绩</w:t>
            </w:r>
            <w:r>
              <w:rPr>
                <w:color w:val="auto"/>
              </w:rPr>
              <w:t xml:space="preserve"> (10.0</w:t>
            </w:r>
            <w:r>
              <w:rPr>
                <w:rFonts w:hint="eastAsia"/>
                <w:color w:val="auto"/>
              </w:rPr>
              <w:t>分</w:t>
            </w:r>
            <w:r>
              <w:rPr>
                <w:color w:val="auto"/>
              </w:rPr>
              <w:t>) (10.0</w:t>
            </w:r>
            <w:r>
              <w:rPr>
                <w:rFonts w:hint="eastAsia"/>
                <w:color w:val="auto"/>
              </w:rPr>
              <w:t>分</w:t>
            </w:r>
            <w:r>
              <w:rPr>
                <w:color w:val="auto"/>
              </w:rPr>
              <w:t>)</w:t>
            </w:r>
            <w:r>
              <w:rPr>
                <w:rFonts w:hint="eastAsia"/>
                <w:color w:val="auto"/>
              </w:rPr>
              <w:t>，（等次分值选择：</w:t>
            </w:r>
            <w:r>
              <w:rPr>
                <w:color w:val="auto"/>
              </w:rPr>
              <w:t>0.0;2.0;4.0;6.0;8.0</w:t>
            </w:r>
            <w:r>
              <w:rPr>
                <w:rFonts w:hint="eastAsia"/>
                <w:color w:val="auto"/>
              </w:rPr>
              <w:t>；</w:t>
            </w:r>
            <w:r>
              <w:rPr>
                <w:color w:val="auto"/>
              </w:rPr>
              <w:t>10.0;</w:t>
            </w:r>
            <w:r>
              <w:rPr>
                <w:rFonts w:hint="eastAsia"/>
                <w:color w:val="auto"/>
              </w:rPr>
              <w:t>）</w:t>
            </w:r>
          </w:p>
        </w:tc>
        <w:tc>
          <w:tcPr>
            <w:tcW w:w="4359"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供应商自</w:t>
            </w:r>
            <w:r>
              <w:rPr>
                <w:color w:val="auto"/>
              </w:rPr>
              <w:t>2018</w:t>
            </w:r>
            <w:r>
              <w:rPr>
                <w:rFonts w:hint="eastAsia"/>
                <w:color w:val="auto"/>
              </w:rPr>
              <w:t>年至今，同类项目业绩，每个业绩得</w:t>
            </w:r>
            <w:r>
              <w:rPr>
                <w:color w:val="auto"/>
              </w:rPr>
              <w:t>2</w:t>
            </w:r>
            <w:r>
              <w:rPr>
                <w:rFonts w:hint="eastAsia"/>
                <w:color w:val="auto"/>
              </w:rPr>
              <w:t>分</w:t>
            </w:r>
            <w:r>
              <w:rPr>
                <w:color w:val="auto"/>
              </w:rPr>
              <w:t>,</w:t>
            </w:r>
            <w:r>
              <w:rPr>
                <w:rFonts w:hint="eastAsia"/>
                <w:color w:val="auto"/>
              </w:rPr>
              <w:t>最高</w:t>
            </w:r>
            <w:r>
              <w:rPr>
                <w:color w:val="auto"/>
              </w:rPr>
              <w:t>10</w:t>
            </w:r>
            <w:r>
              <w:rPr>
                <w:rFonts w:hint="eastAsia"/>
                <w:color w:val="auto"/>
              </w:rPr>
              <w:t>分（须提供合同复印件加盖公章）。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0" w:type="auto"/>
            <w:vMerge w:val="continue"/>
            <w:tcBorders>
              <w:top w:val="single" w:color="auto" w:sz="2" w:space="0"/>
              <w:left w:val="single" w:color="auto" w:sz="2" w:space="0"/>
              <w:bottom w:val="single" w:color="auto" w:sz="2" w:space="0"/>
              <w:right w:val="single" w:color="auto" w:sz="2" w:space="0"/>
            </w:tcBorders>
            <w:vAlign w:val="center"/>
          </w:tcPr>
          <w:p>
            <w:pPr>
              <w:widowControl/>
              <w:jc w:val="left"/>
              <w:rPr>
                <w:color w:val="auto"/>
              </w:rPr>
            </w:pPr>
          </w:p>
        </w:tc>
        <w:tc>
          <w:tcPr>
            <w:tcW w:w="3325"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售后及退换货服务</w:t>
            </w:r>
            <w:r>
              <w:rPr>
                <w:color w:val="auto"/>
              </w:rPr>
              <w:t xml:space="preserve"> (10.0</w:t>
            </w:r>
            <w:r>
              <w:rPr>
                <w:rFonts w:hint="eastAsia"/>
                <w:color w:val="auto"/>
              </w:rPr>
              <w:t>分</w:t>
            </w:r>
            <w:r>
              <w:rPr>
                <w:color w:val="auto"/>
              </w:rPr>
              <w:t>) (10.0</w:t>
            </w:r>
            <w:r>
              <w:rPr>
                <w:rFonts w:hint="eastAsia"/>
                <w:color w:val="auto"/>
              </w:rPr>
              <w:t>分</w:t>
            </w:r>
            <w:r>
              <w:rPr>
                <w:color w:val="auto"/>
              </w:rPr>
              <w:t>)</w:t>
            </w:r>
            <w:r>
              <w:rPr>
                <w:rFonts w:hint="eastAsia"/>
                <w:color w:val="auto"/>
              </w:rPr>
              <w:t>，（等次分值选择：</w:t>
            </w:r>
            <w:r>
              <w:rPr>
                <w:color w:val="auto"/>
              </w:rPr>
              <w:t>0.0;2.0;5.0;10.0;</w:t>
            </w:r>
            <w:r>
              <w:rPr>
                <w:rFonts w:hint="eastAsia"/>
                <w:color w:val="auto"/>
              </w:rPr>
              <w:t>）</w:t>
            </w:r>
          </w:p>
        </w:tc>
        <w:tc>
          <w:tcPr>
            <w:tcW w:w="4359"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根据投标人提供的针对本项目的售后服务机构设置的合理性及覆盖范围进性评审（需提供售后服务机构的详细地址及联系方式，联系人及场地证明（营业执照或租赁合同）：售后服务机构设置数量覆盖范围广，便捷，应急响应时间快，科学合理，得</w:t>
            </w:r>
            <w:r>
              <w:rPr>
                <w:color w:val="auto"/>
              </w:rPr>
              <w:t>10</w:t>
            </w:r>
            <w:r>
              <w:rPr>
                <w:rFonts w:hint="eastAsia"/>
                <w:color w:val="auto"/>
              </w:rPr>
              <w:t>分；售后服务机构设置数量范围适中，较便捷，应急响应时间较快，得</w:t>
            </w:r>
            <w:r>
              <w:rPr>
                <w:color w:val="auto"/>
              </w:rPr>
              <w:t xml:space="preserve"> 5</w:t>
            </w:r>
            <w:r>
              <w:rPr>
                <w:rFonts w:hint="eastAsia"/>
                <w:color w:val="auto"/>
              </w:rPr>
              <w:t>分；售后服务机构设置不合理，覆盖率低，应急响应时间较慢，得</w:t>
            </w:r>
            <w:r>
              <w:rPr>
                <w:color w:val="auto"/>
              </w:rPr>
              <w:t>2</w:t>
            </w:r>
            <w:r>
              <w:rPr>
                <w:rFonts w:hint="eastAsia"/>
                <w:color w:val="auto"/>
              </w:rPr>
              <w:t>分；不提供不得分。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838" w:type="dxa"/>
            <w:tcBorders>
              <w:top w:val="single" w:color="auto" w:sz="2" w:space="0"/>
              <w:left w:val="single" w:color="auto" w:sz="2" w:space="0"/>
              <w:bottom w:val="single" w:color="auto" w:sz="2" w:space="0"/>
              <w:right w:val="single" w:color="auto" w:sz="2" w:space="0"/>
            </w:tcBorders>
          </w:tcPr>
          <w:p>
            <w:pPr>
              <w:rPr>
                <w:color w:val="auto"/>
              </w:rPr>
            </w:pPr>
            <w:r>
              <w:rPr>
                <w:rFonts w:hint="eastAsia"/>
                <w:color w:val="auto"/>
              </w:rPr>
              <w:t>投标报价</w:t>
            </w:r>
          </w:p>
        </w:tc>
        <w:tc>
          <w:tcPr>
            <w:tcW w:w="3325" w:type="dxa"/>
            <w:tcBorders>
              <w:top w:val="single" w:color="auto" w:sz="2" w:space="0"/>
              <w:left w:val="single" w:color="auto" w:sz="2" w:space="0"/>
              <w:bottom w:val="single" w:color="auto" w:sz="2" w:space="0"/>
              <w:right w:val="single" w:color="auto" w:sz="2" w:space="0"/>
            </w:tcBorders>
            <w:vAlign w:val="top"/>
          </w:tcPr>
          <w:p>
            <w:pPr>
              <w:rPr>
                <w:rFonts w:asciiTheme="minorHAnsi" w:hAnsiTheme="minorHAnsi" w:eastAsiaTheme="minorEastAsia" w:cstheme="minorBidi"/>
                <w:color w:val="auto"/>
                <w:kern w:val="2"/>
                <w:sz w:val="21"/>
                <w:szCs w:val="22"/>
                <w:lang w:val="en-US" w:eastAsia="zh-CN" w:bidi="ar-SA"/>
              </w:rPr>
            </w:pPr>
            <w:r>
              <w:rPr>
                <w:rFonts w:hint="eastAsia"/>
                <w:color w:val="auto"/>
              </w:rPr>
              <w:t>投标报价得分</w:t>
            </w:r>
            <w:r>
              <w:rPr>
                <w:color w:val="auto"/>
              </w:rPr>
              <w:t xml:space="preserve"> (30.0</w:t>
            </w:r>
            <w:r>
              <w:rPr>
                <w:rFonts w:hint="eastAsia"/>
                <w:color w:val="auto"/>
              </w:rPr>
              <w:t>分</w:t>
            </w:r>
            <w:r>
              <w:rPr>
                <w:color w:val="auto"/>
              </w:rPr>
              <w:t>)</w:t>
            </w:r>
          </w:p>
        </w:tc>
        <w:tc>
          <w:tcPr>
            <w:tcW w:w="4359" w:type="dxa"/>
            <w:tcBorders>
              <w:top w:val="single" w:color="auto" w:sz="2" w:space="0"/>
              <w:left w:val="single" w:color="auto" w:sz="2" w:space="0"/>
              <w:bottom w:val="single" w:color="auto" w:sz="2" w:space="0"/>
              <w:right w:val="single" w:color="auto" w:sz="2" w:space="0"/>
            </w:tcBorders>
            <w:vAlign w:val="top"/>
          </w:tcPr>
          <w:p>
            <w:pPr>
              <w:rPr>
                <w:rFonts w:asciiTheme="minorHAnsi" w:hAnsiTheme="minorHAnsi" w:eastAsiaTheme="minorEastAsia" w:cstheme="minorBidi"/>
                <w:color w:val="auto"/>
                <w:kern w:val="2"/>
                <w:sz w:val="21"/>
                <w:szCs w:val="22"/>
                <w:lang w:val="en-US" w:eastAsia="zh-CN" w:bidi="ar-SA"/>
              </w:rPr>
            </w:pPr>
            <w:r>
              <w:rPr>
                <w:rFonts w:hint="eastAsia"/>
                <w:color w:val="auto"/>
              </w:rPr>
              <w:t>投标报价得分＝（评标基准价</w:t>
            </w:r>
            <w:r>
              <w:rPr>
                <w:color w:val="auto"/>
              </w:rPr>
              <w:t>/</w:t>
            </w:r>
            <w:r>
              <w:rPr>
                <w:rFonts w:hint="eastAsia"/>
                <w:color w:val="auto"/>
              </w:rPr>
              <w:t>投标报价）</w:t>
            </w:r>
            <w:r>
              <w:rPr>
                <w:color w:val="auto"/>
              </w:rPr>
              <w:t>×</w:t>
            </w:r>
            <w:r>
              <w:rPr>
                <w:rFonts w:hint="eastAsia"/>
                <w:color w:val="auto"/>
              </w:rPr>
              <w:t>价格分值【注：满足招标文件要求且投标价格最低的投标报价为评标基准价。】最低报价不是中标的唯一依据。因落实政府采购政策进行价格调整的，以调整后的价格计算评标基准价和投标报价。</w:t>
            </w:r>
          </w:p>
        </w:tc>
      </w:tr>
    </w:tbl>
    <w:p>
      <w:pPr>
        <w:rPr>
          <w:color w:val="auto"/>
        </w:rPr>
      </w:pPr>
    </w:p>
    <w:p>
      <w:pPr>
        <w:rPr>
          <w:color w:val="auto"/>
        </w:rPr>
      </w:pPr>
      <w:r>
        <w:rPr>
          <w:color w:val="auto"/>
        </w:rPr>
        <w:t>6.</w:t>
      </w:r>
      <w:r>
        <w:rPr>
          <w:rFonts w:hint="eastAsia"/>
          <w:color w:val="auto"/>
        </w:rPr>
        <w:t>汇总、排序</w:t>
      </w:r>
    </w:p>
    <w:p>
      <w:pPr>
        <w:rPr>
          <w:color w:val="auto"/>
        </w:rPr>
      </w:pPr>
    </w:p>
    <w:p>
      <w:pPr>
        <w:ind w:firstLine="420" w:firstLineChars="200"/>
        <w:rPr>
          <w:color w:val="auto"/>
        </w:rPr>
      </w:pPr>
      <w:r>
        <w:rPr>
          <w:rFonts w:hint="eastAsia"/>
          <w:color w:val="auto"/>
        </w:rPr>
        <w:t>评选结果按评审后总得分由高到低顺序排列。评审得分相同的，按最终报价由低到高顺序排列。得分且最终报价相同的，由采购小组采取随机抽取的方式确定。排名第一的谈判供应商为第一成交候选人，排名第二的谈判供应商为第二成交候选人（提供相同品牌产品（非单一产品采购，以核心产品为准。多个核心产品的，有一种产品品牌相同，即视为提供相同品牌产品），评审后得分最高的同品牌谈判供应商获得成交候选人推荐资格；评审得分相同的，由采购小组采取随机抽取方式确定，其他同品牌谈判供应商不作为成交候选人）。</w:t>
      </w:r>
    </w:p>
    <w:p>
      <w:pPr>
        <w:rPr>
          <w:color w:val="auto"/>
        </w:rPr>
      </w:pPr>
    </w:p>
    <w:p>
      <w:pPr>
        <w:rPr>
          <w:color w:val="auto"/>
        </w:rPr>
      </w:pPr>
    </w:p>
    <w:p>
      <w:pPr>
        <w:rPr>
          <w:color w:val="auto"/>
        </w:rPr>
      </w:pPr>
    </w:p>
    <w:p>
      <w:pPr>
        <w:rPr>
          <w:color w:val="auto"/>
        </w:rPr>
      </w:pPr>
    </w:p>
    <w:p>
      <w:pPr>
        <w:rPr>
          <w:color w:val="auto"/>
        </w:rPr>
      </w:pPr>
    </w:p>
    <w:p>
      <w:pPr>
        <w:rPr>
          <w:color w:val="auto"/>
        </w:rPr>
      </w:pPr>
      <w:r>
        <w:rPr>
          <w:color w:val="auto"/>
        </w:rPr>
        <w:t xml:space="preserve">                                         </w:t>
      </w:r>
      <w:r>
        <w:rPr>
          <w:rFonts w:hint="eastAsia"/>
          <w:color w:val="auto"/>
        </w:rPr>
        <w:t>广东省深圳牙科医疗中心工会委员会</w:t>
      </w:r>
    </w:p>
    <w:p>
      <w:pPr>
        <w:rPr>
          <w:color w:val="auto"/>
        </w:rPr>
      </w:pPr>
      <w:r>
        <w:rPr>
          <w:color w:val="auto"/>
        </w:rPr>
        <w:t xml:space="preserve">                                                  202</w:t>
      </w:r>
      <w:r>
        <w:rPr>
          <w:rFonts w:hint="eastAsia"/>
          <w:color w:val="auto"/>
          <w:lang w:val="en-US" w:eastAsia="zh-CN"/>
        </w:rPr>
        <w:t>4</w:t>
      </w:r>
      <w:r>
        <w:rPr>
          <w:rFonts w:hint="eastAsia"/>
          <w:color w:val="auto"/>
        </w:rPr>
        <w:t>年</w:t>
      </w:r>
      <w:r>
        <w:rPr>
          <w:rFonts w:hint="eastAsia"/>
          <w:color w:val="auto"/>
          <w:lang w:val="en-US" w:eastAsia="zh-CN"/>
        </w:rPr>
        <w:t>1</w:t>
      </w:r>
      <w:r>
        <w:rPr>
          <w:rFonts w:hint="eastAsia"/>
          <w:color w:val="auto"/>
        </w:rPr>
        <w:t>月</w:t>
      </w:r>
      <w:r>
        <w:rPr>
          <w:rFonts w:hint="eastAsia"/>
          <w:color w:val="auto"/>
          <w:lang w:val="en-US" w:eastAsia="zh-CN"/>
        </w:rPr>
        <w:t>11</w:t>
      </w:r>
      <w:r>
        <w:rPr>
          <w:rFonts w:hint="eastAsia"/>
          <w:color w:val="auto"/>
        </w:rPr>
        <w:t>日</w:t>
      </w:r>
    </w:p>
    <w:p>
      <w:pPr>
        <w:rPr>
          <w:rFonts w:hint="eastAsia"/>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jNWE0NWE4Y2RmMmVhM2Y2ZDg1Mjk5YzVkNmI3NDEifQ=="/>
  </w:docVars>
  <w:rsids>
    <w:rsidRoot w:val="00C61AF2"/>
    <w:rsid w:val="00C61AF2"/>
    <w:rsid w:val="00C82F5A"/>
    <w:rsid w:val="05912824"/>
    <w:rsid w:val="07214165"/>
    <w:rsid w:val="07E775D3"/>
    <w:rsid w:val="0EFF4AE0"/>
    <w:rsid w:val="2814497E"/>
    <w:rsid w:val="2EB20D92"/>
    <w:rsid w:val="32343F25"/>
    <w:rsid w:val="6C9E1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927</Words>
  <Characters>5286</Characters>
  <Lines>44</Lines>
  <Paragraphs>12</Paragraphs>
  <TotalTime>7</TotalTime>
  <ScaleCrop>false</ScaleCrop>
  <LinksUpToDate>false</LinksUpToDate>
  <CharactersWithSpaces>6201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2023-08-25T01:46:00Z</dcterms:created>
  <dc:creator>微软用户</dc:creator>
  <cp:lastModifiedBy>人生如梦</cp:lastModifiedBy>
  <dcterms:modified xsi:type="dcterms:W3CDTF">2024-01-11T06:42:22Z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85D6E745913B46DABB66C6822D717F73_13</vt:lpwstr>
  </property>
</Properties>
</file>